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1B2" w:rsidRDefault="007A21B2">
      <w:pPr>
        <w:pBdr>
          <w:top w:val="nil"/>
          <w:left w:val="nil"/>
          <w:bottom w:val="nil"/>
          <w:right w:val="nil"/>
          <w:between w:val="nil"/>
        </w:pBdr>
        <w:jc w:val="center"/>
        <w:rPr>
          <w:rFonts w:ascii="Century Gothic" w:eastAsia="Century Gothic" w:hAnsi="Century Gothic" w:cs="Century Gothic"/>
          <w:color w:val="000000"/>
        </w:rPr>
      </w:pPr>
    </w:p>
    <w:p w:rsidR="007A21B2" w:rsidRDefault="007A21B2">
      <w:pPr>
        <w:pBdr>
          <w:top w:val="nil"/>
          <w:left w:val="nil"/>
          <w:bottom w:val="nil"/>
          <w:right w:val="nil"/>
          <w:between w:val="nil"/>
        </w:pBdr>
        <w:jc w:val="center"/>
        <w:rPr>
          <w:rFonts w:ascii="Century Gothic" w:eastAsia="Century Gothic" w:hAnsi="Century Gothic" w:cs="Century Gothic"/>
          <w:color w:val="000000"/>
        </w:rPr>
      </w:pPr>
    </w:p>
    <w:p w:rsidR="007A21B2" w:rsidRDefault="007A21B2">
      <w:pPr>
        <w:pBdr>
          <w:top w:val="nil"/>
          <w:left w:val="nil"/>
          <w:bottom w:val="nil"/>
          <w:right w:val="nil"/>
          <w:between w:val="nil"/>
        </w:pBdr>
        <w:jc w:val="center"/>
        <w:rPr>
          <w:rFonts w:ascii="Century Gothic" w:eastAsia="Century Gothic" w:hAnsi="Century Gothic" w:cs="Century Gothic"/>
          <w:color w:val="000000"/>
        </w:rPr>
      </w:pPr>
    </w:p>
    <w:p w:rsidR="007A21B2" w:rsidRDefault="007A21B2">
      <w:pPr>
        <w:pBdr>
          <w:top w:val="nil"/>
          <w:left w:val="nil"/>
          <w:bottom w:val="nil"/>
          <w:right w:val="nil"/>
          <w:between w:val="nil"/>
        </w:pBdr>
        <w:jc w:val="center"/>
        <w:rPr>
          <w:rFonts w:ascii="Century Gothic" w:eastAsia="Century Gothic" w:hAnsi="Century Gothic" w:cs="Century Gothic"/>
          <w:color w:val="000000"/>
          <w:sz w:val="32"/>
          <w:szCs w:val="32"/>
        </w:rPr>
      </w:pPr>
    </w:p>
    <w:p w:rsidR="007A21B2" w:rsidRDefault="007A21B2">
      <w:pPr>
        <w:pBdr>
          <w:top w:val="nil"/>
          <w:left w:val="nil"/>
          <w:bottom w:val="nil"/>
          <w:right w:val="nil"/>
          <w:between w:val="nil"/>
        </w:pBdr>
        <w:jc w:val="center"/>
        <w:rPr>
          <w:rFonts w:ascii="Century Gothic" w:eastAsia="Century Gothic" w:hAnsi="Century Gothic" w:cs="Century Gothic"/>
          <w:color w:val="000000"/>
          <w:sz w:val="32"/>
          <w:szCs w:val="32"/>
        </w:rPr>
      </w:pPr>
    </w:p>
    <w:p w:rsidR="007A21B2" w:rsidRDefault="00074A87">
      <w:pPr>
        <w:pBdr>
          <w:top w:val="nil"/>
          <w:left w:val="nil"/>
          <w:bottom w:val="nil"/>
          <w:right w:val="nil"/>
          <w:between w:val="nil"/>
        </w:pBdr>
        <w:jc w:val="center"/>
        <w:rPr>
          <w:rFonts w:ascii="Century Gothic" w:eastAsia="Century Gothic" w:hAnsi="Century Gothic" w:cs="Century Gothic"/>
          <w:color w:val="000000"/>
          <w:sz w:val="40"/>
          <w:szCs w:val="40"/>
        </w:rPr>
      </w:pPr>
      <w:r>
        <w:rPr>
          <w:rFonts w:ascii="Century Gothic" w:eastAsia="Century Gothic" w:hAnsi="Century Gothic" w:cs="Century Gothic"/>
          <w:b/>
          <w:color w:val="000000"/>
          <w:sz w:val="40"/>
          <w:szCs w:val="40"/>
        </w:rPr>
        <w:t>TECHNICKÁ ZPRÁVA</w:t>
      </w:r>
    </w:p>
    <w:p w:rsidR="007A21B2" w:rsidRDefault="007A21B2">
      <w:pPr>
        <w:pBdr>
          <w:top w:val="nil"/>
          <w:left w:val="nil"/>
          <w:bottom w:val="nil"/>
          <w:right w:val="nil"/>
          <w:between w:val="nil"/>
        </w:pBdr>
        <w:jc w:val="center"/>
        <w:rPr>
          <w:rFonts w:ascii="Century Gothic" w:eastAsia="Century Gothic" w:hAnsi="Century Gothic" w:cs="Century Gothic"/>
          <w:color w:val="000000"/>
        </w:rPr>
      </w:pPr>
    </w:p>
    <w:p w:rsidR="007A21B2" w:rsidRDefault="007A21B2">
      <w:pPr>
        <w:pBdr>
          <w:top w:val="nil"/>
          <w:left w:val="nil"/>
          <w:bottom w:val="nil"/>
          <w:right w:val="nil"/>
          <w:between w:val="nil"/>
        </w:pBdr>
        <w:jc w:val="center"/>
        <w:rPr>
          <w:rFonts w:ascii="Century Gothic" w:eastAsia="Century Gothic" w:hAnsi="Century Gothic" w:cs="Century Gothic"/>
          <w:color w:val="000000"/>
          <w:sz w:val="32"/>
          <w:szCs w:val="32"/>
        </w:rPr>
      </w:pPr>
    </w:p>
    <w:p w:rsidR="003F77C2" w:rsidRDefault="003F77C2">
      <w:pPr>
        <w:pBdr>
          <w:top w:val="nil"/>
          <w:left w:val="nil"/>
          <w:bottom w:val="nil"/>
          <w:right w:val="nil"/>
          <w:between w:val="nil"/>
        </w:pBdr>
        <w:jc w:val="center"/>
        <w:rPr>
          <w:rFonts w:ascii="Century Gothic" w:eastAsia="Century Gothic" w:hAnsi="Century Gothic" w:cs="Century Gothic"/>
          <w:b/>
          <w:color w:val="000000"/>
          <w:sz w:val="32"/>
          <w:szCs w:val="32"/>
        </w:rPr>
      </w:pPr>
      <w:r>
        <w:rPr>
          <w:rFonts w:ascii="Century Gothic" w:eastAsia="Century Gothic" w:hAnsi="Century Gothic" w:cs="Century Gothic"/>
          <w:b/>
          <w:color w:val="000000"/>
          <w:sz w:val="32"/>
          <w:szCs w:val="32"/>
        </w:rPr>
        <w:t xml:space="preserve">Projekt terénních a sadovnických úprav </w:t>
      </w:r>
    </w:p>
    <w:p w:rsidR="007A21B2" w:rsidRDefault="003F77C2">
      <w:pPr>
        <w:pBdr>
          <w:top w:val="nil"/>
          <w:left w:val="nil"/>
          <w:bottom w:val="nil"/>
          <w:right w:val="nil"/>
          <w:between w:val="nil"/>
        </w:pBdr>
        <w:jc w:val="center"/>
        <w:rPr>
          <w:rFonts w:ascii="Century Gothic" w:eastAsia="Century Gothic" w:hAnsi="Century Gothic" w:cs="Century Gothic"/>
          <w:color w:val="000000"/>
          <w:sz w:val="32"/>
          <w:szCs w:val="32"/>
        </w:rPr>
      </w:pPr>
      <w:r>
        <w:rPr>
          <w:rFonts w:ascii="Century Gothic" w:eastAsia="Century Gothic" w:hAnsi="Century Gothic" w:cs="Century Gothic"/>
          <w:b/>
          <w:color w:val="000000"/>
          <w:sz w:val="32"/>
          <w:szCs w:val="32"/>
        </w:rPr>
        <w:t>kolem areálu QUEEN v Třinci</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Pr="00C93730" w:rsidRDefault="00C93730" w:rsidP="00C93730">
      <w:pPr>
        <w:pBdr>
          <w:top w:val="nil"/>
          <w:left w:val="nil"/>
          <w:bottom w:val="nil"/>
          <w:right w:val="nil"/>
          <w:between w:val="nil"/>
        </w:pBdr>
        <w:jc w:val="center"/>
        <w:rPr>
          <w:rFonts w:ascii="Century Gothic" w:eastAsia="Century Gothic" w:hAnsi="Century Gothic" w:cs="Century Gothic"/>
          <w:b/>
          <w:color w:val="000000"/>
          <w:sz w:val="36"/>
          <w:szCs w:val="36"/>
        </w:rPr>
      </w:pPr>
      <w:r w:rsidRPr="00C93730">
        <w:rPr>
          <w:rFonts w:ascii="Century Gothic" w:eastAsia="Century Gothic" w:hAnsi="Century Gothic" w:cs="Century Gothic"/>
          <w:b/>
          <w:color w:val="000000"/>
          <w:sz w:val="36"/>
          <w:szCs w:val="36"/>
        </w:rPr>
        <w:t>Příloha A</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br w:type="page"/>
      </w:r>
      <w:r>
        <w:rPr>
          <w:rFonts w:ascii="Century Gothic" w:eastAsia="Century Gothic" w:hAnsi="Century Gothic" w:cs="Century Gothic"/>
          <w:b/>
          <w:color w:val="000000"/>
        </w:rPr>
        <w:lastRenderedPageBreak/>
        <w:t>OBSAH</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Základní údaje</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Údaje o stavbě</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Podklady pro zpracování projektu sadovnických úprav</w:t>
      </w:r>
    </w:p>
    <w:p w:rsidR="007A21B2" w:rsidRDefault="00074A87">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Popis území stavby</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Popis území – výchozí stav</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Stávající inženýrské sítě</w:t>
      </w:r>
    </w:p>
    <w:p w:rsidR="007A21B2" w:rsidRDefault="00074A87" w:rsidP="00F446A0">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Koncepce sadovnických úprav </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Záměr</w:t>
      </w:r>
    </w:p>
    <w:p w:rsidR="007A21B2" w:rsidRDefault="00C93730">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Vlastní řešení</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Porostní skupiny</w:t>
      </w:r>
    </w:p>
    <w:p w:rsidR="007A21B2" w:rsidRDefault="00074A87">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Technické pokyny pro realizaci sadovnických úprav </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Příprava před založením kultury</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Vlastní výsadba</w:t>
      </w:r>
    </w:p>
    <w:p w:rsidR="007A21B2" w:rsidRDefault="00074A87">
      <w:pPr>
        <w:numPr>
          <w:ilvl w:val="1"/>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Péče o výsadby</w:t>
      </w:r>
    </w:p>
    <w:p w:rsidR="007A21B2" w:rsidRDefault="00074A87">
      <w:pPr>
        <w:numPr>
          <w:ilvl w:val="2"/>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Rozvojová péče po dobu 3 let</w:t>
      </w:r>
    </w:p>
    <w:p w:rsidR="007A21B2" w:rsidRDefault="00074A87">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Požadované úkony před započetím realizace</w:t>
      </w:r>
    </w:p>
    <w:p w:rsidR="007A21B2" w:rsidRDefault="00074A87">
      <w:pPr>
        <w:numPr>
          <w:ilvl w:val="0"/>
          <w:numId w:val="2"/>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Přílohy</w:t>
      </w:r>
    </w:p>
    <w:p w:rsidR="007A21B2" w:rsidRDefault="00074A87">
      <w:pPr>
        <w:pBdr>
          <w:top w:val="nil"/>
          <w:left w:val="nil"/>
          <w:bottom w:val="nil"/>
          <w:right w:val="nil"/>
          <w:between w:val="nil"/>
        </w:pBdr>
        <w:rPr>
          <w:rFonts w:ascii="Century Gothic" w:eastAsia="Century Gothic" w:hAnsi="Century Gothic" w:cs="Century Gothic"/>
          <w:color w:val="000000"/>
        </w:rPr>
      </w:pPr>
      <w:r>
        <w:br w:type="page"/>
      </w:r>
      <w:r>
        <w:rPr>
          <w:rFonts w:ascii="Century Gothic" w:eastAsia="Century Gothic" w:hAnsi="Century Gothic" w:cs="Century Gothic"/>
          <w:b/>
          <w:color w:val="000000"/>
        </w:rPr>
        <w:lastRenderedPageBreak/>
        <w:t>1. ZÁKLADNÍ ÚDAJE</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1.1. Údaje o stavbě</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Zakázka: </w:t>
      </w:r>
      <w:r w:rsidR="00264495">
        <w:rPr>
          <w:rFonts w:ascii="Century Gothic" w:eastAsia="Century Gothic" w:hAnsi="Century Gothic" w:cs="Century Gothic"/>
          <w:color w:val="000000"/>
        </w:rPr>
        <w:t xml:space="preserve">Projekt terénních a sadovnických úprav </w:t>
      </w:r>
      <w:r w:rsidR="00755632">
        <w:rPr>
          <w:rFonts w:ascii="Century Gothic" w:eastAsia="Century Gothic" w:hAnsi="Century Gothic" w:cs="Century Gothic"/>
          <w:color w:val="000000"/>
        </w:rPr>
        <w:t xml:space="preserve">kolem </w:t>
      </w:r>
      <w:r w:rsidR="00264495">
        <w:rPr>
          <w:rFonts w:ascii="Century Gothic" w:eastAsia="Century Gothic" w:hAnsi="Century Gothic" w:cs="Century Gothic"/>
          <w:color w:val="000000"/>
        </w:rPr>
        <w:t>areálu Queen v Třinci</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Místo stavby: k.ú.</w:t>
      </w:r>
      <w:r w:rsidR="00264495">
        <w:rPr>
          <w:rFonts w:ascii="Century Gothic" w:eastAsia="Century Gothic" w:hAnsi="Century Gothic" w:cs="Century Gothic"/>
          <w:color w:val="000000"/>
        </w:rPr>
        <w:t>Lyžbice p.č. 1423/1, Třinec</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Investor: </w:t>
      </w:r>
      <w:bookmarkStart w:id="0" w:name="_GoBack"/>
      <w:r w:rsidR="00BE1805">
        <w:rPr>
          <w:rFonts w:ascii="Century Gothic" w:eastAsia="Century Gothic" w:hAnsi="Century Gothic" w:cs="Century Gothic"/>
          <w:color w:val="000000"/>
        </w:rPr>
        <w:t>statutární město</w:t>
      </w:r>
      <w:r w:rsidR="00264495">
        <w:rPr>
          <w:rFonts w:ascii="Century Gothic" w:eastAsia="Century Gothic" w:hAnsi="Century Gothic" w:cs="Century Gothic"/>
          <w:color w:val="000000"/>
        </w:rPr>
        <w:t xml:space="preserve"> Třinec, Jablunkovská 160, Staré Město, 739 61 Třinec</w:t>
      </w:r>
    </w:p>
    <w:bookmarkEnd w:id="0"/>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Projektant: </w:t>
      </w:r>
      <w:r w:rsidR="00BE1805">
        <w:rPr>
          <w:rFonts w:ascii="Century Gothic" w:eastAsia="Century Gothic" w:hAnsi="Century Gothic" w:cs="Century Gothic"/>
          <w:color w:val="000000"/>
        </w:rPr>
        <w:t>Ing. Dawid Rusz, Bc. Agnieszka</w:t>
      </w:r>
      <w:r w:rsidR="00962915">
        <w:rPr>
          <w:rFonts w:ascii="Century Gothic" w:eastAsia="Century Gothic" w:hAnsi="Century Gothic" w:cs="Century Gothic"/>
          <w:color w:val="000000"/>
        </w:rPr>
        <w:t xml:space="preserve"> </w:t>
      </w:r>
      <w:r w:rsidR="00BE1805">
        <w:rPr>
          <w:rFonts w:ascii="Century Gothic" w:eastAsia="Century Gothic" w:hAnsi="Century Gothic" w:cs="Century Gothic"/>
          <w:color w:val="000000"/>
        </w:rPr>
        <w:t>Rusz</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Projekční kancelář: ZELENÝ PROSTOR s.r.o. IČ: 29450080, Horní Lištná 7, Třinec 739 61</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1.2. Podklady pro zpracování projektu sadovnických úprav</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situační výkresy</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technické a průvodní zprávy</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2. POPIS ÚZEMÍ STAVBY</w:t>
      </w:r>
      <w:r>
        <w:rPr>
          <w:rFonts w:ascii="Century Gothic" w:eastAsia="Century Gothic" w:hAnsi="Century Gothic" w:cs="Century Gothic"/>
          <w:b/>
          <w:color w:val="000000"/>
        </w:rPr>
        <w:br/>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2.1. Popis území – výchozí stav</w:t>
      </w:r>
    </w:p>
    <w:p w:rsidR="009D3A15" w:rsidRPr="009D3A15" w:rsidRDefault="009D3A15" w:rsidP="005733D1">
      <w:pPr>
        <w:pBdr>
          <w:top w:val="nil"/>
          <w:left w:val="nil"/>
          <w:bottom w:val="nil"/>
          <w:right w:val="nil"/>
          <w:between w:val="nil"/>
        </w:pBdr>
        <w:jc w:val="both"/>
        <w:rPr>
          <w:rFonts w:ascii="Century Gothic" w:eastAsia="Century Gothic" w:hAnsi="Century Gothic" w:cs="Century Gothic"/>
          <w:color w:val="000000"/>
        </w:rPr>
      </w:pPr>
      <w:r w:rsidRPr="009D3A15">
        <w:rPr>
          <w:rFonts w:ascii="Century Gothic" w:eastAsia="Century Gothic" w:hAnsi="Century Gothic" w:cs="Century Gothic"/>
          <w:color w:val="000000"/>
        </w:rPr>
        <w:t>Popis území</w:t>
      </w:r>
    </w:p>
    <w:p w:rsidR="00BE1805" w:rsidRDefault="00BE1805"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Řešené území se nachází na parc. č. 1423/1</w:t>
      </w:r>
      <w:r w:rsidR="000954F2">
        <w:rPr>
          <w:rFonts w:ascii="Century Gothic" w:eastAsia="Century Gothic" w:hAnsi="Century Gothic" w:cs="Century Gothic"/>
          <w:color w:val="000000"/>
        </w:rPr>
        <w:t>, jejím</w:t>
      </w:r>
      <w:r>
        <w:rPr>
          <w:rFonts w:ascii="Century Gothic" w:eastAsia="Century Gothic" w:hAnsi="Century Gothic" w:cs="Century Gothic"/>
          <w:color w:val="000000"/>
        </w:rPr>
        <w:t xml:space="preserve"> vlastníkem je SLOVAN CENTRUM spol. s</w:t>
      </w:r>
      <w:r w:rsidR="000954F2">
        <w:rPr>
          <w:rFonts w:ascii="Century Gothic" w:eastAsia="Century Gothic" w:hAnsi="Century Gothic" w:cs="Century Gothic"/>
          <w:color w:val="000000"/>
        </w:rPr>
        <w:t>.</w:t>
      </w:r>
      <w:r>
        <w:rPr>
          <w:rFonts w:ascii="Century Gothic" w:eastAsia="Century Gothic" w:hAnsi="Century Gothic" w:cs="Century Gothic"/>
          <w:color w:val="000000"/>
        </w:rPr>
        <w:t>r</w:t>
      </w:r>
      <w:r w:rsidR="000954F2">
        <w:rPr>
          <w:rFonts w:ascii="Century Gothic" w:eastAsia="Century Gothic" w:hAnsi="Century Gothic" w:cs="Century Gothic"/>
          <w:color w:val="000000"/>
        </w:rPr>
        <w:t>.</w:t>
      </w:r>
      <w:r>
        <w:rPr>
          <w:rFonts w:ascii="Century Gothic" w:eastAsia="Century Gothic" w:hAnsi="Century Gothic" w:cs="Century Gothic"/>
          <w:color w:val="000000"/>
        </w:rPr>
        <w:t>o.</w:t>
      </w:r>
      <w:r w:rsidR="000954F2">
        <w:rPr>
          <w:rFonts w:ascii="Century Gothic" w:eastAsia="Century Gothic" w:hAnsi="Century Gothic" w:cs="Century Gothic"/>
          <w:color w:val="000000"/>
        </w:rPr>
        <w:t xml:space="preserve"> Pozemek </w:t>
      </w:r>
      <w:r w:rsidR="00B07427">
        <w:rPr>
          <w:rFonts w:ascii="Century Gothic" w:eastAsia="Century Gothic" w:hAnsi="Century Gothic" w:cs="Century Gothic"/>
          <w:color w:val="000000"/>
        </w:rPr>
        <w:t xml:space="preserve">je situován </w:t>
      </w:r>
      <w:r w:rsidR="000954F2">
        <w:rPr>
          <w:rFonts w:ascii="Century Gothic" w:eastAsia="Century Gothic" w:hAnsi="Century Gothic" w:cs="Century Gothic"/>
          <w:color w:val="000000"/>
        </w:rPr>
        <w:t>v městské části Lyžbice. Ze severní strany sousedí s hřbitovem, západní stranou vede místní komuni</w:t>
      </w:r>
      <w:r w:rsidR="00600A04">
        <w:rPr>
          <w:rFonts w:ascii="Century Gothic" w:eastAsia="Century Gothic" w:hAnsi="Century Gothic" w:cs="Century Gothic"/>
          <w:color w:val="000000"/>
        </w:rPr>
        <w:t>kace. Jižním směrem se nachází</w:t>
      </w:r>
      <w:r w:rsidR="000954F2">
        <w:rPr>
          <w:rFonts w:ascii="Century Gothic" w:eastAsia="Century Gothic" w:hAnsi="Century Gothic" w:cs="Century Gothic"/>
          <w:color w:val="000000"/>
        </w:rPr>
        <w:t xml:space="preserve">  rezidence Kamionka</w:t>
      </w:r>
      <w:r w:rsidR="00600A04">
        <w:rPr>
          <w:rFonts w:ascii="Century Gothic" w:eastAsia="Century Gothic" w:hAnsi="Century Gothic" w:cs="Century Gothic"/>
          <w:color w:val="000000"/>
        </w:rPr>
        <w:t>. V budoucnu je</w:t>
      </w:r>
      <w:r w:rsidR="005733D1">
        <w:rPr>
          <w:rFonts w:ascii="Century Gothic" w:eastAsia="Century Gothic" w:hAnsi="Century Gothic" w:cs="Century Gothic"/>
          <w:color w:val="000000"/>
        </w:rPr>
        <w:t xml:space="preserve"> zde</w:t>
      </w:r>
      <w:r w:rsidR="00600A04">
        <w:rPr>
          <w:rFonts w:ascii="Century Gothic" w:eastAsia="Century Gothic" w:hAnsi="Century Gothic" w:cs="Century Gothic"/>
          <w:color w:val="000000"/>
        </w:rPr>
        <w:t xml:space="preserve"> plánovaná výstavba nových budov</w:t>
      </w:r>
      <w:r w:rsidR="003E39EA">
        <w:rPr>
          <w:rFonts w:ascii="Century Gothic" w:eastAsia="Century Gothic" w:hAnsi="Century Gothic" w:cs="Century Gothic"/>
          <w:color w:val="000000"/>
        </w:rPr>
        <w:t>.</w:t>
      </w:r>
    </w:p>
    <w:p w:rsidR="003E39EA" w:rsidRDefault="003E39EA"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Pozemek se směrem od silnice svažuje dolů, výškové převýšení je </w:t>
      </w:r>
      <w:r w:rsidR="009640D7">
        <w:rPr>
          <w:rFonts w:ascii="Century Gothic" w:eastAsia="Century Gothic" w:hAnsi="Century Gothic" w:cs="Century Gothic"/>
          <w:color w:val="000000"/>
        </w:rPr>
        <w:t xml:space="preserve">kolem 1,5m. </w:t>
      </w:r>
      <w:r w:rsidR="00893571">
        <w:rPr>
          <w:rFonts w:ascii="Century Gothic" w:eastAsia="Century Gothic" w:hAnsi="Century Gothic" w:cs="Century Gothic"/>
          <w:color w:val="000000"/>
        </w:rPr>
        <w:t xml:space="preserve"> Naproti vstupu do objektu vede chodník se schodištěm. </w:t>
      </w:r>
      <w:r w:rsidR="009640D7">
        <w:rPr>
          <w:rFonts w:ascii="Century Gothic" w:eastAsia="Century Gothic" w:hAnsi="Century Gothic" w:cs="Century Gothic"/>
          <w:color w:val="000000"/>
        </w:rPr>
        <w:t xml:space="preserve">Na silnici navazuje stávající parkoviště s kapacitou 6 parkovacích míst. Stávající svah je rozdělen na dvě výškové úrovně, </w:t>
      </w:r>
      <w:r w:rsidR="005733D1">
        <w:rPr>
          <w:rFonts w:ascii="Century Gothic" w:eastAsia="Century Gothic" w:hAnsi="Century Gothic" w:cs="Century Gothic"/>
          <w:color w:val="000000"/>
        </w:rPr>
        <w:t>které jsou řešené betonovou zídkou s ukládanými kameny</w:t>
      </w:r>
      <w:r w:rsidR="009640D7">
        <w:rPr>
          <w:rFonts w:ascii="Century Gothic" w:eastAsia="Century Gothic" w:hAnsi="Century Gothic" w:cs="Century Gothic"/>
          <w:color w:val="000000"/>
        </w:rPr>
        <w:t>. Jsou zde tři zpevněné plochy s lavicemi sloužícími jako letní zahrádka v teplých měsících.</w:t>
      </w:r>
      <w:r w:rsidR="00843D56">
        <w:rPr>
          <w:rFonts w:ascii="Century Gothic" w:eastAsia="Century Gothic" w:hAnsi="Century Gothic" w:cs="Century Gothic"/>
          <w:color w:val="000000"/>
        </w:rPr>
        <w:t xml:space="preserve"> Jedna</w:t>
      </w:r>
      <w:r w:rsidR="009640D7">
        <w:rPr>
          <w:rFonts w:ascii="Century Gothic" w:eastAsia="Century Gothic" w:hAnsi="Century Gothic" w:cs="Century Gothic"/>
          <w:color w:val="000000"/>
        </w:rPr>
        <w:t xml:space="preserve"> zpevněná plocha se nachází vedle parkoviště, další dvě jsou níže u vchodu do </w:t>
      </w:r>
      <w:r w:rsidR="00893571">
        <w:rPr>
          <w:rFonts w:ascii="Century Gothic" w:eastAsia="Century Gothic" w:hAnsi="Century Gothic" w:cs="Century Gothic"/>
          <w:color w:val="000000"/>
        </w:rPr>
        <w:t>objektu</w:t>
      </w:r>
      <w:r w:rsidR="009640D7">
        <w:rPr>
          <w:rFonts w:ascii="Century Gothic" w:eastAsia="Century Gothic" w:hAnsi="Century Gothic" w:cs="Century Gothic"/>
          <w:color w:val="000000"/>
        </w:rPr>
        <w:t xml:space="preserve">. </w:t>
      </w:r>
    </w:p>
    <w:p w:rsidR="00843D56" w:rsidRDefault="00843D56"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Na pozemku se nachází několik vzrostlých dřevin, jedná s</w:t>
      </w:r>
      <w:r w:rsidR="00893571">
        <w:rPr>
          <w:rFonts w:ascii="Century Gothic" w:eastAsia="Century Gothic" w:hAnsi="Century Gothic" w:cs="Century Gothic"/>
          <w:color w:val="000000"/>
        </w:rPr>
        <w:t>e hlavně o jehličnaté dřeviny (</w:t>
      </w:r>
      <w:r w:rsidR="00B07427">
        <w:rPr>
          <w:rFonts w:ascii="Century Gothic" w:eastAsia="Century Gothic" w:hAnsi="Century Gothic" w:cs="Century Gothic"/>
          <w:i/>
          <w:color w:val="000000"/>
        </w:rPr>
        <w:t>Thuja, Juniperus</w:t>
      </w:r>
      <w:r w:rsidR="00893571">
        <w:rPr>
          <w:rFonts w:ascii="Century Gothic" w:eastAsia="Century Gothic" w:hAnsi="Century Gothic" w:cs="Century Gothic"/>
          <w:color w:val="000000"/>
        </w:rPr>
        <w:t xml:space="preserve">) </w:t>
      </w:r>
      <w:r>
        <w:rPr>
          <w:rFonts w:ascii="Century Gothic" w:eastAsia="Century Gothic" w:hAnsi="Century Gothic" w:cs="Century Gothic"/>
          <w:color w:val="000000"/>
        </w:rPr>
        <w:t>a dvě břízy.</w:t>
      </w:r>
      <w:r w:rsidR="005733D1">
        <w:rPr>
          <w:rFonts w:ascii="Century Gothic" w:eastAsia="Century Gothic" w:hAnsi="Century Gothic" w:cs="Century Gothic"/>
          <w:color w:val="000000"/>
        </w:rPr>
        <w:t xml:space="preserve"> Pod parkovištěm se nachází smíšený trvalkový záhon se solitérními keři, realizovaný před dvěma lety.</w:t>
      </w:r>
    </w:p>
    <w:p w:rsidR="007A21B2" w:rsidRDefault="007A21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noProof/>
          <w:color w:val="000000"/>
        </w:rPr>
        <w:drawing>
          <wp:inline distT="0" distB="0" distL="0" distR="0">
            <wp:extent cx="3408883" cy="2544067"/>
            <wp:effectExtent l="0" t="0" r="1270" b="8890"/>
            <wp:docPr id="1" name="Obrázok 1" descr="C:\Users\PC\AppData\Local\Microsoft\Windows\INetCache\Content.Word\Soubor_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AppData\Local\Microsoft\Windows\INetCache\Content.Word\Soubor_004.jpe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1249" cy="2553296"/>
                    </a:xfrm>
                    <a:prstGeom prst="rect">
                      <a:avLst/>
                    </a:prstGeom>
                    <a:noFill/>
                    <a:ln>
                      <a:noFill/>
                    </a:ln>
                  </pic:spPr>
                </pic:pic>
              </a:graphicData>
            </a:graphic>
          </wp:inline>
        </w:drawing>
      </w:r>
      <w:r w:rsidR="00962915" w:rsidRPr="009717EA">
        <w:rPr>
          <w:rFonts w:ascii="Century Gothic" w:eastAsia="Century Gothic" w:hAnsi="Century Gothic" w:cs="Century Gothic"/>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75pt;height:199.5pt">
            <v:imagedata r:id="rId10" o:title="Soubor_006"/>
          </v:shape>
        </w:pict>
      </w:r>
    </w:p>
    <w:p w:rsidR="007A21B2" w:rsidRDefault="00074A87"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Obr. č. 1 </w:t>
      </w:r>
      <w:r>
        <w:rPr>
          <w:rFonts w:ascii="Century Gothic" w:eastAsia="Century Gothic" w:hAnsi="Century Gothic" w:cs="Century Gothic"/>
          <w:color w:val="000000"/>
        </w:rPr>
        <w:tab/>
      </w:r>
      <w:r>
        <w:rPr>
          <w:rFonts w:ascii="Century Gothic" w:eastAsia="Century Gothic" w:hAnsi="Century Gothic" w:cs="Century Gothic"/>
          <w:color w:val="000000"/>
        </w:rPr>
        <w:tab/>
      </w:r>
      <w:r>
        <w:rPr>
          <w:rFonts w:ascii="Century Gothic" w:eastAsia="Century Gothic" w:hAnsi="Century Gothic" w:cs="Century Gothic"/>
          <w:color w:val="000000"/>
        </w:rPr>
        <w:tab/>
      </w:r>
      <w:r>
        <w:rPr>
          <w:rFonts w:ascii="Century Gothic" w:eastAsia="Century Gothic" w:hAnsi="Century Gothic" w:cs="Century Gothic"/>
          <w:color w:val="000000"/>
        </w:rPr>
        <w:tab/>
      </w:r>
      <w:r>
        <w:rPr>
          <w:rFonts w:ascii="Century Gothic" w:eastAsia="Century Gothic" w:hAnsi="Century Gothic" w:cs="Century Gothic"/>
          <w:color w:val="000000"/>
        </w:rPr>
        <w:tab/>
      </w:r>
      <w:r>
        <w:rPr>
          <w:rFonts w:ascii="Century Gothic" w:eastAsia="Century Gothic" w:hAnsi="Century Gothic" w:cs="Century Gothic"/>
          <w:color w:val="000000"/>
        </w:rPr>
        <w:tab/>
        <w:t xml:space="preserve">          Obr. č. 2</w:t>
      </w:r>
    </w:p>
    <w:p w:rsidR="007A21B2" w:rsidRDefault="007A21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DC6DB2" w:rsidP="005733D1">
      <w:pPr>
        <w:pBdr>
          <w:top w:val="nil"/>
          <w:left w:val="nil"/>
          <w:bottom w:val="nil"/>
          <w:right w:val="nil"/>
          <w:between w:val="nil"/>
        </w:pBdr>
        <w:jc w:val="both"/>
        <w:rPr>
          <w:rFonts w:ascii="Century Gothic" w:eastAsia="Century Gothic" w:hAnsi="Century Gothic" w:cs="Century Gothic"/>
          <w:color w:val="000000"/>
        </w:rPr>
      </w:pPr>
    </w:p>
    <w:p w:rsidR="00DC6DB2" w:rsidRDefault="009717EA" w:rsidP="005733D1">
      <w:pPr>
        <w:pBdr>
          <w:top w:val="nil"/>
          <w:left w:val="nil"/>
          <w:bottom w:val="nil"/>
          <w:right w:val="nil"/>
          <w:between w:val="nil"/>
        </w:pBdr>
        <w:jc w:val="both"/>
        <w:rPr>
          <w:rFonts w:ascii="Century Gothic" w:eastAsia="Century Gothic" w:hAnsi="Century Gothic" w:cs="Century Gothic"/>
          <w:color w:val="000000"/>
        </w:rPr>
      </w:pPr>
      <w:r w:rsidRPr="009717EA">
        <w:rPr>
          <w:rFonts w:ascii="Century Gothic" w:eastAsia="Century Gothic" w:hAnsi="Century Gothic" w:cs="Century Gothic"/>
          <w:color w:val="000000"/>
        </w:rPr>
        <w:lastRenderedPageBreak/>
        <w:pict>
          <v:shape id="_x0000_i1026" type="#_x0000_t75" style="width:261pt;height:197.25pt">
            <v:imagedata r:id="rId11" o:title="Soubor_002 (1)"/>
          </v:shape>
        </w:pict>
      </w:r>
      <w:r w:rsidR="00DC6DB2">
        <w:rPr>
          <w:rFonts w:ascii="Century Gothic" w:eastAsia="Century Gothic" w:hAnsi="Century Gothic" w:cs="Century Gothic"/>
          <w:noProof/>
          <w:color w:val="000000"/>
        </w:rPr>
        <w:drawing>
          <wp:inline distT="0" distB="0" distL="0" distR="0">
            <wp:extent cx="3315689" cy="2501798"/>
            <wp:effectExtent l="0" t="0" r="0" b="0"/>
            <wp:docPr id="2" name="Obrázok 2" descr="C:\Users\PC\AppData\Local\Microsoft\Windows\INetCache\Content.Word\Soubor_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C\AppData\Local\Microsoft\Windows\INetCache\Content.Word\Soubor_008.jpe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8132" cy="2503641"/>
                    </a:xfrm>
                    <a:prstGeom prst="rect">
                      <a:avLst/>
                    </a:prstGeom>
                    <a:noFill/>
                    <a:ln>
                      <a:noFill/>
                    </a:ln>
                  </pic:spPr>
                </pic:pic>
              </a:graphicData>
            </a:graphic>
          </wp:inline>
        </w:drawing>
      </w:r>
    </w:p>
    <w:p w:rsidR="007A21B2" w:rsidRDefault="00074A87" w:rsidP="005733D1">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Obr.č.3                                                              Obr.č. 4</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b/>
          <w:color w:val="000000"/>
        </w:rPr>
        <w:t>2.2.Stávající inženýrské sítě</w:t>
      </w:r>
    </w:p>
    <w:p w:rsidR="00DC6DB2" w:rsidRDefault="00DC6DB2" w:rsidP="00400F56">
      <w:pPr>
        <w:pBdr>
          <w:top w:val="nil"/>
          <w:left w:val="nil"/>
          <w:bottom w:val="nil"/>
          <w:right w:val="nil"/>
          <w:between w:val="nil"/>
        </w:pBdr>
        <w:jc w:val="both"/>
        <w:rPr>
          <w:rFonts w:ascii="Century Gothic" w:eastAsia="Century Gothic" w:hAnsi="Century Gothic" w:cs="Century Gothic"/>
          <w:color w:val="000000"/>
        </w:rPr>
      </w:pPr>
    </w:p>
    <w:p w:rsidR="00DC6DB2" w:rsidRPr="00430500" w:rsidRDefault="00DC6DB2" w:rsidP="00400F56">
      <w:pPr>
        <w:pBdr>
          <w:top w:val="nil"/>
          <w:left w:val="nil"/>
          <w:bottom w:val="nil"/>
          <w:right w:val="nil"/>
          <w:between w:val="nil"/>
        </w:pBdr>
        <w:jc w:val="both"/>
        <w:rPr>
          <w:rFonts w:ascii="Century Gothic" w:eastAsia="Century Gothic" w:hAnsi="Century Gothic" w:cs="Century Gothic"/>
        </w:rPr>
      </w:pPr>
      <w:r w:rsidRPr="00430500">
        <w:rPr>
          <w:rFonts w:ascii="Century Gothic" w:eastAsia="Century Gothic" w:hAnsi="Century Gothic" w:cs="Century Gothic"/>
        </w:rPr>
        <w:t xml:space="preserve">Vedení inženýrských síti je </w:t>
      </w:r>
      <w:r w:rsidR="00B07427">
        <w:rPr>
          <w:rFonts w:ascii="Century Gothic" w:eastAsia="Century Gothic" w:hAnsi="Century Gothic" w:cs="Century Gothic"/>
        </w:rPr>
        <w:t>znázorněno v příloze B3</w:t>
      </w:r>
      <w:r w:rsidR="00962915">
        <w:rPr>
          <w:rFonts w:ascii="Century Gothic" w:eastAsia="Century Gothic" w:hAnsi="Century Gothic" w:cs="Century Gothic"/>
        </w:rPr>
        <w:t xml:space="preserve">, </w:t>
      </w:r>
      <w:r w:rsidR="00430500" w:rsidRPr="00892C84">
        <w:rPr>
          <w:rFonts w:ascii="Century Gothic" w:eastAsia="Century Gothic" w:hAnsi="Century Gothic" w:cs="Century Gothic"/>
        </w:rPr>
        <w:t>zaměření inženýrských síti.</w:t>
      </w:r>
    </w:p>
    <w:p w:rsidR="00430500" w:rsidRPr="00430500" w:rsidRDefault="00430500" w:rsidP="00400F56">
      <w:pPr>
        <w:pBdr>
          <w:top w:val="nil"/>
          <w:left w:val="nil"/>
          <w:bottom w:val="nil"/>
          <w:right w:val="nil"/>
          <w:between w:val="nil"/>
        </w:pBdr>
        <w:jc w:val="both"/>
        <w:rPr>
          <w:rFonts w:ascii="Century Gothic" w:eastAsia="Century Gothic" w:hAnsi="Century Gothic" w:cs="Century Gothic"/>
        </w:rPr>
      </w:pPr>
      <w:r w:rsidRPr="00430500">
        <w:rPr>
          <w:rFonts w:ascii="Century Gothic" w:eastAsia="Century Gothic" w:hAnsi="Century Gothic" w:cs="Century Gothic"/>
        </w:rPr>
        <w:t xml:space="preserve">Většina síti je </w:t>
      </w:r>
      <w:r>
        <w:rPr>
          <w:rFonts w:ascii="Century Gothic" w:eastAsia="Century Gothic" w:hAnsi="Century Gothic" w:cs="Century Gothic"/>
        </w:rPr>
        <w:t xml:space="preserve">vedena pod tělesem silniční komunikace, do plochy zeleně zasahuje pouze podzemní vedení </w:t>
      </w:r>
      <w:r>
        <w:rPr>
          <w:rFonts w:ascii="Century Gothic" w:eastAsia="Century Gothic" w:hAnsi="Century Gothic" w:cs="Century Gothic"/>
          <w:color w:val="000000"/>
        </w:rPr>
        <w:t>s</w:t>
      </w:r>
      <w:r w:rsidRPr="00400F56">
        <w:rPr>
          <w:rFonts w:ascii="Century Gothic" w:eastAsia="Century Gothic" w:hAnsi="Century Gothic" w:cs="Century Gothic"/>
          <w:color w:val="000000"/>
        </w:rPr>
        <w:t>dělovací</w:t>
      </w:r>
      <w:r>
        <w:rPr>
          <w:rFonts w:ascii="Century Gothic" w:eastAsia="Century Gothic" w:hAnsi="Century Gothic" w:cs="Century Gothic"/>
          <w:color w:val="000000"/>
        </w:rPr>
        <w:t>ho</w:t>
      </w:r>
      <w:r w:rsidRPr="00400F56">
        <w:rPr>
          <w:rFonts w:ascii="Century Gothic" w:eastAsia="Century Gothic" w:hAnsi="Century Gothic" w:cs="Century Gothic"/>
          <w:color w:val="000000"/>
        </w:rPr>
        <w:t xml:space="preserve"> vedení </w:t>
      </w:r>
      <w:r>
        <w:rPr>
          <w:rFonts w:ascii="Century Gothic" w:eastAsia="Century Gothic" w:hAnsi="Century Gothic" w:cs="Century Gothic"/>
          <w:color w:val="000000"/>
        </w:rPr>
        <w:t>(</w:t>
      </w:r>
      <w:r>
        <w:rPr>
          <w:rFonts w:ascii="Century Gothic" w:eastAsia="Century Gothic" w:hAnsi="Century Gothic" w:cs="Century Gothic"/>
        </w:rPr>
        <w:t xml:space="preserve">CETIN). </w:t>
      </w:r>
    </w:p>
    <w:p w:rsidR="007A21B2" w:rsidRDefault="00430500">
      <w:pPr>
        <w:pBdr>
          <w:top w:val="nil"/>
          <w:left w:val="nil"/>
          <w:bottom w:val="nil"/>
          <w:right w:val="nil"/>
          <w:between w:val="nil"/>
        </w:pBdr>
        <w:jc w:val="both"/>
        <w:rPr>
          <w:rFonts w:ascii="Century Gothic" w:hAnsi="Century Gothic" w:cs="Arial"/>
        </w:rPr>
      </w:pPr>
      <w:r w:rsidRPr="00784F71">
        <w:rPr>
          <w:rFonts w:ascii="Century Gothic" w:hAnsi="Century Gothic" w:cs="Arial"/>
        </w:rPr>
        <w:t>Sítě musí být před realizací zajištěny před poškozením. Pokud neodpovídají současnému zákresu v terénu, je nutno provézt přesné vytyčení sítí. Při provádění výkopových a jiných prací budou dodržená veškerá ochranná pásma</w:t>
      </w:r>
      <w:r>
        <w:rPr>
          <w:rFonts w:ascii="Century Gothic" w:hAnsi="Century Gothic" w:cs="Arial"/>
        </w:rPr>
        <w:t>.</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b/>
          <w:color w:val="000000"/>
        </w:rPr>
        <w:t xml:space="preserve">3. KONCEPCE SADOVNICKÝCH ÚPRAV </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074A87">
      <w:pPr>
        <w:pBdr>
          <w:top w:val="nil"/>
          <w:left w:val="nil"/>
          <w:bottom w:val="nil"/>
          <w:right w:val="nil"/>
          <w:between w:val="nil"/>
        </w:pBdr>
        <w:jc w:val="both"/>
        <w:rPr>
          <w:rFonts w:ascii="Century Gothic" w:eastAsia="Century Gothic" w:hAnsi="Century Gothic" w:cs="Century Gothic"/>
          <w:b/>
          <w:color w:val="000000"/>
        </w:rPr>
      </w:pPr>
      <w:r>
        <w:rPr>
          <w:rFonts w:ascii="Century Gothic" w:eastAsia="Century Gothic" w:hAnsi="Century Gothic" w:cs="Century Gothic"/>
          <w:b/>
          <w:color w:val="000000"/>
        </w:rPr>
        <w:t>3.1. Záměr</w:t>
      </w:r>
    </w:p>
    <w:p w:rsidR="003E39EA" w:rsidRDefault="003E39EA">
      <w:pPr>
        <w:pBdr>
          <w:top w:val="nil"/>
          <w:left w:val="nil"/>
          <w:bottom w:val="nil"/>
          <w:right w:val="nil"/>
          <w:between w:val="nil"/>
        </w:pBdr>
        <w:jc w:val="both"/>
        <w:rPr>
          <w:rFonts w:ascii="Century Gothic" w:eastAsia="Century Gothic" w:hAnsi="Century Gothic" w:cs="Century Gothic"/>
          <w:b/>
          <w:color w:val="000000"/>
        </w:rPr>
      </w:pPr>
    </w:p>
    <w:p w:rsidR="003E39EA" w:rsidRDefault="00A4028F">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Jižně od areálu Queen se nachází rezidence Kamionka. Do budoucna je</w:t>
      </w:r>
      <w:r w:rsidR="00930769">
        <w:rPr>
          <w:rFonts w:ascii="Century Gothic" w:eastAsia="Century Gothic" w:hAnsi="Century Gothic" w:cs="Century Gothic"/>
          <w:color w:val="000000"/>
        </w:rPr>
        <w:t xml:space="preserve"> zde</w:t>
      </w:r>
      <w:r>
        <w:rPr>
          <w:rFonts w:ascii="Century Gothic" w:eastAsia="Century Gothic" w:hAnsi="Century Gothic" w:cs="Century Gothic"/>
          <w:color w:val="000000"/>
        </w:rPr>
        <w:t xml:space="preserve"> plánovaná výstavba nových budov.V důsledku této výstav</w:t>
      </w:r>
      <w:r w:rsidR="001225E4">
        <w:rPr>
          <w:rFonts w:ascii="Century Gothic" w:eastAsia="Century Gothic" w:hAnsi="Century Gothic" w:cs="Century Gothic"/>
          <w:color w:val="000000"/>
        </w:rPr>
        <w:t>b</w:t>
      </w:r>
      <w:r>
        <w:rPr>
          <w:rFonts w:ascii="Century Gothic" w:eastAsia="Century Gothic" w:hAnsi="Century Gothic" w:cs="Century Gothic"/>
          <w:color w:val="000000"/>
        </w:rPr>
        <w:t>y se p</w:t>
      </w:r>
      <w:r w:rsidR="001225E4">
        <w:rPr>
          <w:rFonts w:ascii="Century Gothic" w:eastAsia="Century Gothic" w:hAnsi="Century Gothic" w:cs="Century Gothic"/>
          <w:color w:val="000000"/>
        </w:rPr>
        <w:t xml:space="preserve">očítá </w:t>
      </w:r>
      <w:r>
        <w:rPr>
          <w:rFonts w:ascii="Century Gothic" w:eastAsia="Century Gothic" w:hAnsi="Century Gothic" w:cs="Century Gothic"/>
          <w:color w:val="000000"/>
        </w:rPr>
        <w:t xml:space="preserve">s nárůstem </w:t>
      </w:r>
      <w:r w:rsidR="003E39EA">
        <w:rPr>
          <w:rFonts w:ascii="Century Gothic" w:eastAsia="Century Gothic" w:hAnsi="Century Gothic" w:cs="Century Gothic"/>
          <w:color w:val="000000"/>
        </w:rPr>
        <w:t>automobilové i pěší dopravy v okolí. Stávající komunikace se z tohoto důvodu jeví jako nevyhovující a vedení města se rozhodlo silnici rozšířit. Část nově rozšiřované komunikace zasahuje na parcelu č. 1423/1. a z tohoto důvodu dojde k odstranění několika stávajících dřevin.</w:t>
      </w:r>
    </w:p>
    <w:p w:rsidR="007A21B2" w:rsidRDefault="00074A87" w:rsidP="00625546">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Hlavní</w:t>
      </w:r>
      <w:r w:rsidR="0031623C">
        <w:rPr>
          <w:rFonts w:ascii="Century Gothic" w:eastAsia="Century Gothic" w:hAnsi="Century Gothic" w:cs="Century Gothic"/>
          <w:color w:val="000000"/>
        </w:rPr>
        <w:t>m</w:t>
      </w:r>
      <w:r w:rsidR="00962915">
        <w:rPr>
          <w:rFonts w:ascii="Century Gothic" w:eastAsia="Century Gothic" w:hAnsi="Century Gothic" w:cs="Century Gothic"/>
          <w:color w:val="000000"/>
        </w:rPr>
        <w:t xml:space="preserve"> </w:t>
      </w:r>
      <w:r w:rsidR="0031623C">
        <w:rPr>
          <w:rFonts w:ascii="Century Gothic" w:eastAsia="Century Gothic" w:hAnsi="Century Gothic" w:cs="Century Gothic"/>
          <w:color w:val="000000"/>
        </w:rPr>
        <w:t xml:space="preserve">požadavkem je odclonění silnice a vytvoření příjemného zázemí pro letní zahrádku.  </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b/>
          <w:color w:val="000000"/>
        </w:rPr>
        <w:t xml:space="preserve">3.2. </w:t>
      </w:r>
      <w:r w:rsidR="00625546">
        <w:rPr>
          <w:rFonts w:ascii="Century Gothic" w:eastAsia="Century Gothic" w:hAnsi="Century Gothic" w:cs="Century Gothic"/>
          <w:b/>
          <w:color w:val="000000"/>
        </w:rPr>
        <w:t>Vlastní řešení</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625546" w:rsidRDefault="00625546">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V důsledku rozšíření stávající silnice dojde k prodloužení parkoviště a odstranění </w:t>
      </w:r>
      <w:r w:rsidR="00634E7A">
        <w:rPr>
          <w:rFonts w:ascii="Century Gothic" w:eastAsia="Century Gothic" w:hAnsi="Century Gothic" w:cs="Century Gothic"/>
          <w:color w:val="000000"/>
        </w:rPr>
        <w:t>deseti</w:t>
      </w:r>
      <w:r>
        <w:rPr>
          <w:rFonts w:ascii="Century Gothic" w:eastAsia="Century Gothic" w:hAnsi="Century Gothic" w:cs="Century Gothic"/>
          <w:color w:val="000000"/>
        </w:rPr>
        <w:t xml:space="preserve"> stávajících dřevin. </w:t>
      </w:r>
      <w:r w:rsidR="00B07427">
        <w:rPr>
          <w:rFonts w:ascii="Century Gothic" w:eastAsia="Century Gothic" w:hAnsi="Century Gothic" w:cs="Century Gothic"/>
          <w:color w:val="000000"/>
        </w:rPr>
        <w:t>Dojde k o</w:t>
      </w:r>
      <w:r w:rsidR="00604E93">
        <w:rPr>
          <w:rFonts w:ascii="Century Gothic" w:eastAsia="Century Gothic" w:hAnsi="Century Gothic" w:cs="Century Gothic"/>
          <w:color w:val="000000"/>
        </w:rPr>
        <w:t>d</w:t>
      </w:r>
      <w:r w:rsidR="00B07427">
        <w:rPr>
          <w:rFonts w:ascii="Century Gothic" w:eastAsia="Century Gothic" w:hAnsi="Century Gothic" w:cs="Century Gothic"/>
          <w:color w:val="000000"/>
        </w:rPr>
        <w:t>stranění stávající zpevněné plochy nacházející se ve</w:t>
      </w:r>
      <w:r w:rsidR="00604E93">
        <w:rPr>
          <w:rFonts w:ascii="Century Gothic" w:eastAsia="Century Gothic" w:hAnsi="Century Gothic" w:cs="Century Gothic"/>
          <w:color w:val="000000"/>
        </w:rPr>
        <w:t>dle parkoviště, stávající terén</w:t>
      </w:r>
      <w:r>
        <w:rPr>
          <w:rFonts w:ascii="Century Gothic" w:eastAsia="Century Gothic" w:hAnsi="Century Gothic" w:cs="Century Gothic"/>
          <w:color w:val="000000"/>
        </w:rPr>
        <w:t xml:space="preserve"> se postupně vysvahuje současně se zachováním dvou spodních zpevněných ploch. </w:t>
      </w:r>
      <w:r w:rsidR="00634E7A">
        <w:rPr>
          <w:rFonts w:ascii="Century Gothic" w:eastAsia="Century Gothic" w:hAnsi="Century Gothic" w:cs="Century Gothic"/>
          <w:color w:val="000000"/>
        </w:rPr>
        <w:t>Rostliny ze záhonu pod</w:t>
      </w:r>
      <w:r w:rsidR="001225E4">
        <w:rPr>
          <w:rFonts w:ascii="Century Gothic" w:eastAsia="Century Gothic" w:hAnsi="Century Gothic" w:cs="Century Gothic"/>
          <w:color w:val="000000"/>
        </w:rPr>
        <w:t xml:space="preserve"> parkovištěm se částečně použijí</w:t>
      </w:r>
      <w:r w:rsidR="00634E7A">
        <w:rPr>
          <w:rFonts w:ascii="Century Gothic" w:eastAsia="Century Gothic" w:hAnsi="Century Gothic" w:cs="Century Gothic"/>
          <w:color w:val="000000"/>
        </w:rPr>
        <w:t xml:space="preserve"> a přesadí na nové místo (</w:t>
      </w:r>
      <w:r w:rsidR="00634E7A" w:rsidRPr="00732BB4">
        <w:rPr>
          <w:rFonts w:ascii="Century Gothic" w:eastAsia="Century Gothic" w:hAnsi="Century Gothic" w:cs="Century Gothic"/>
        </w:rPr>
        <w:t xml:space="preserve">viz. </w:t>
      </w:r>
      <w:r w:rsidR="00732BB4" w:rsidRPr="00732BB4">
        <w:rPr>
          <w:rFonts w:ascii="Century Gothic" w:eastAsia="Century Gothic" w:hAnsi="Century Gothic" w:cs="Century Gothic"/>
        </w:rPr>
        <w:t>příloha B1, B2</w:t>
      </w:r>
      <w:r w:rsidR="00634E7A" w:rsidRPr="00732BB4">
        <w:rPr>
          <w:rFonts w:ascii="Century Gothic" w:eastAsia="Century Gothic" w:hAnsi="Century Gothic" w:cs="Century Gothic"/>
        </w:rPr>
        <w:t>).</w:t>
      </w:r>
    </w:p>
    <w:p w:rsidR="001225E4" w:rsidRDefault="001225E4">
      <w:pPr>
        <w:pBdr>
          <w:top w:val="nil"/>
          <w:left w:val="nil"/>
          <w:bottom w:val="nil"/>
          <w:right w:val="nil"/>
          <w:between w:val="nil"/>
        </w:pBdr>
        <w:jc w:val="both"/>
        <w:rPr>
          <w:rFonts w:ascii="Century Gothic" w:eastAsia="Century Gothic" w:hAnsi="Century Gothic" w:cs="Century Gothic"/>
          <w:color w:val="FF0000"/>
          <w:highlight w:val="white"/>
        </w:rPr>
      </w:pPr>
      <w:r>
        <w:rPr>
          <w:rFonts w:ascii="Century Gothic" w:eastAsia="Century Gothic" w:hAnsi="Century Gothic" w:cs="Century Gothic"/>
          <w:color w:val="000000"/>
        </w:rPr>
        <w:t>Výsadba je koncipovaná s ohledem na požadavky majitelů.</w:t>
      </w:r>
      <w:r w:rsidR="005A6A35">
        <w:rPr>
          <w:rFonts w:ascii="Century Gothic" w:eastAsia="Century Gothic" w:hAnsi="Century Gothic" w:cs="Century Gothic"/>
          <w:color w:val="000000"/>
        </w:rPr>
        <w:t xml:space="preserve"> U silnice je navržena výsadba vyšších keřů, které poslouží jako pohledová bariéra. Jelikož zde dojde k odstranění stávajících vzrostlých dřevin, vysadí se zde nové stromy a solitérní keře. Plocha kolem letní zahrádky bude osázená trvalkami a travinami</w:t>
      </w:r>
      <w:r w:rsidR="008175A8">
        <w:rPr>
          <w:rFonts w:ascii="Century Gothic" w:eastAsia="Century Gothic" w:hAnsi="Century Gothic" w:cs="Century Gothic"/>
          <w:color w:val="000000"/>
        </w:rPr>
        <w:t>.</w:t>
      </w:r>
      <w:r w:rsidR="005A6A35">
        <w:rPr>
          <w:rFonts w:ascii="Century Gothic" w:eastAsia="Century Gothic" w:hAnsi="Century Gothic" w:cs="Century Gothic"/>
          <w:color w:val="000000"/>
        </w:rPr>
        <w:t xml:space="preserve"> V severní části pozemku se stávající plocha půdopokryvných jalovců doplní </w:t>
      </w:r>
      <w:r w:rsidR="00732BB4">
        <w:rPr>
          <w:rFonts w:ascii="Century Gothic" w:eastAsia="Century Gothic" w:hAnsi="Century Gothic" w:cs="Century Gothic"/>
          <w:color w:val="000000"/>
        </w:rPr>
        <w:t>vícekmennými břízami, solitérními keři a malými skupinkami stávajících přesazených trvalek</w:t>
      </w:r>
      <w:r w:rsidR="005A6A35">
        <w:rPr>
          <w:rFonts w:ascii="Century Gothic" w:eastAsia="Century Gothic" w:hAnsi="Century Gothic" w:cs="Century Gothic"/>
          <w:color w:val="000000"/>
        </w:rPr>
        <w:t>.</w:t>
      </w:r>
    </w:p>
    <w:p w:rsidR="007A21B2" w:rsidRDefault="007A21B2">
      <w:pPr>
        <w:pBdr>
          <w:top w:val="nil"/>
          <w:left w:val="nil"/>
          <w:bottom w:val="nil"/>
          <w:right w:val="nil"/>
          <w:between w:val="nil"/>
        </w:pBdr>
        <w:jc w:val="both"/>
        <w:rPr>
          <w:rFonts w:ascii="Century Gothic" w:eastAsia="Century Gothic" w:hAnsi="Century Gothic" w:cs="Century Gothic"/>
          <w:color w:val="FF0000"/>
        </w:rPr>
      </w:pPr>
    </w:p>
    <w:p w:rsidR="007A21B2" w:rsidRDefault="00074A87">
      <w:pPr>
        <w:pBdr>
          <w:top w:val="nil"/>
          <w:left w:val="nil"/>
          <w:bottom w:val="nil"/>
          <w:right w:val="nil"/>
          <w:between w:val="nil"/>
        </w:pBdr>
        <w:rPr>
          <w:rFonts w:ascii="Century Gothic" w:eastAsia="Century Gothic" w:hAnsi="Century Gothic" w:cs="Century Gothic"/>
          <w:color w:val="000000"/>
        </w:rPr>
      </w:pPr>
      <w:r>
        <w:br w:type="page"/>
      </w:r>
      <w:r>
        <w:rPr>
          <w:rFonts w:ascii="Century Gothic" w:eastAsia="Century Gothic" w:hAnsi="Century Gothic" w:cs="Century Gothic"/>
          <w:b/>
          <w:color w:val="000000"/>
        </w:rPr>
        <w:lastRenderedPageBreak/>
        <w:t>3.3. Porostní skupiny</w:t>
      </w:r>
    </w:p>
    <w:tbl>
      <w:tblPr>
        <w:tblW w:w="9660" w:type="dxa"/>
        <w:tblInd w:w="55" w:type="dxa"/>
        <w:tblCellMar>
          <w:left w:w="70" w:type="dxa"/>
          <w:right w:w="70" w:type="dxa"/>
        </w:tblCellMar>
        <w:tblLook w:val="04A0"/>
      </w:tblPr>
      <w:tblGrid>
        <w:gridCol w:w="562"/>
        <w:gridCol w:w="3880"/>
        <w:gridCol w:w="2200"/>
        <w:gridCol w:w="605"/>
        <w:gridCol w:w="875"/>
        <w:gridCol w:w="828"/>
        <w:gridCol w:w="825"/>
      </w:tblGrid>
      <w:tr w:rsidR="00FC454B" w:rsidRPr="00604E93" w:rsidTr="00FC454B">
        <w:trPr>
          <w:trHeight w:val="300"/>
        </w:trPr>
        <w:tc>
          <w:tcPr>
            <w:tcW w:w="54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FC454B" w:rsidRPr="00604E93" w:rsidRDefault="00FC454B" w:rsidP="00FC454B">
            <w:pPr>
              <w:rPr>
                <w:rFonts w:ascii="Century Gothic" w:hAnsi="Century Gothic" w:cs="Calibri"/>
                <w:b/>
                <w:bCs/>
                <w:color w:val="000000"/>
                <w:sz w:val="18"/>
                <w:szCs w:val="18"/>
              </w:rPr>
            </w:pPr>
            <w:r w:rsidRPr="00604E93">
              <w:rPr>
                <w:rFonts w:ascii="Century Gothic" w:hAnsi="Century Gothic" w:cs="Calibri"/>
                <w:b/>
                <w:bCs/>
                <w:color w:val="000000"/>
                <w:sz w:val="18"/>
                <w:szCs w:val="18"/>
              </w:rPr>
              <w:t>Číslo</w:t>
            </w:r>
          </w:p>
        </w:tc>
        <w:tc>
          <w:tcPr>
            <w:tcW w:w="3880" w:type="dxa"/>
            <w:tcBorders>
              <w:top w:val="single" w:sz="8" w:space="0" w:color="auto"/>
              <w:left w:val="nil"/>
              <w:bottom w:val="single" w:sz="4" w:space="0" w:color="auto"/>
              <w:right w:val="single" w:sz="4" w:space="0" w:color="auto"/>
            </w:tcBorders>
            <w:shd w:val="clear" w:color="000000" w:fill="BFBFBF"/>
            <w:noWrap/>
            <w:vAlign w:val="bottom"/>
            <w:hideMark/>
          </w:tcPr>
          <w:p w:rsidR="00FC454B" w:rsidRPr="00604E93" w:rsidRDefault="00FC454B" w:rsidP="00FC454B">
            <w:pPr>
              <w:rPr>
                <w:rFonts w:ascii="Century Gothic" w:hAnsi="Century Gothic" w:cs="Calibri"/>
                <w:b/>
                <w:bCs/>
                <w:color w:val="000000"/>
                <w:sz w:val="18"/>
                <w:szCs w:val="18"/>
              </w:rPr>
            </w:pPr>
            <w:r w:rsidRPr="00604E93">
              <w:rPr>
                <w:rFonts w:ascii="Century Gothic" w:hAnsi="Century Gothic" w:cs="Calibri"/>
                <w:b/>
                <w:bCs/>
                <w:color w:val="000000"/>
                <w:sz w:val="18"/>
                <w:szCs w:val="18"/>
              </w:rPr>
              <w:t>Vědecký název rostliny</w:t>
            </w:r>
          </w:p>
        </w:tc>
        <w:tc>
          <w:tcPr>
            <w:tcW w:w="2200" w:type="dxa"/>
            <w:tcBorders>
              <w:top w:val="single" w:sz="8" w:space="0" w:color="auto"/>
              <w:left w:val="nil"/>
              <w:bottom w:val="single" w:sz="4" w:space="0" w:color="auto"/>
              <w:right w:val="single" w:sz="4" w:space="0" w:color="auto"/>
            </w:tcBorders>
            <w:shd w:val="clear" w:color="000000" w:fill="BFBFBF"/>
            <w:noWrap/>
            <w:vAlign w:val="bottom"/>
            <w:hideMark/>
          </w:tcPr>
          <w:p w:rsidR="00FC454B" w:rsidRPr="00604E93" w:rsidRDefault="00FC454B" w:rsidP="00FC454B">
            <w:pPr>
              <w:rPr>
                <w:rFonts w:ascii="Century Gothic" w:hAnsi="Century Gothic" w:cs="Calibri"/>
                <w:b/>
                <w:bCs/>
                <w:color w:val="000000"/>
                <w:sz w:val="18"/>
                <w:szCs w:val="18"/>
              </w:rPr>
            </w:pPr>
            <w:r w:rsidRPr="00604E93">
              <w:rPr>
                <w:rFonts w:ascii="Century Gothic" w:hAnsi="Century Gothic" w:cs="Calibri"/>
                <w:b/>
                <w:bCs/>
                <w:color w:val="000000"/>
                <w:sz w:val="18"/>
                <w:szCs w:val="18"/>
              </w:rPr>
              <w:t>Národní název rostliny</w:t>
            </w:r>
          </w:p>
        </w:tc>
        <w:tc>
          <w:tcPr>
            <w:tcW w:w="600" w:type="dxa"/>
            <w:tcBorders>
              <w:top w:val="single" w:sz="8" w:space="0" w:color="auto"/>
              <w:left w:val="nil"/>
              <w:bottom w:val="single" w:sz="4" w:space="0" w:color="auto"/>
              <w:right w:val="single" w:sz="4" w:space="0" w:color="auto"/>
            </w:tcBorders>
            <w:shd w:val="clear" w:color="000000" w:fill="BFBFBF"/>
            <w:noWrap/>
            <w:vAlign w:val="bottom"/>
            <w:hideMark/>
          </w:tcPr>
          <w:p w:rsidR="00FC454B" w:rsidRPr="00604E93" w:rsidRDefault="00FC454B" w:rsidP="00FC454B">
            <w:pPr>
              <w:jc w:val="center"/>
              <w:rPr>
                <w:rFonts w:ascii="Century Gothic" w:hAnsi="Century Gothic" w:cs="Calibri"/>
                <w:b/>
                <w:bCs/>
                <w:color w:val="000000"/>
                <w:sz w:val="18"/>
                <w:szCs w:val="18"/>
              </w:rPr>
            </w:pPr>
            <w:r w:rsidRPr="00604E93">
              <w:rPr>
                <w:rFonts w:ascii="Century Gothic" w:hAnsi="Century Gothic" w:cs="Calibri"/>
                <w:b/>
                <w:bCs/>
                <w:color w:val="000000"/>
                <w:sz w:val="18"/>
                <w:szCs w:val="18"/>
              </w:rPr>
              <w:t>Nové</w:t>
            </w:r>
          </w:p>
        </w:tc>
        <w:tc>
          <w:tcPr>
            <w:tcW w:w="840" w:type="dxa"/>
            <w:tcBorders>
              <w:top w:val="single" w:sz="8" w:space="0" w:color="auto"/>
              <w:left w:val="nil"/>
              <w:bottom w:val="single" w:sz="4" w:space="0" w:color="auto"/>
              <w:right w:val="single" w:sz="4" w:space="0" w:color="auto"/>
            </w:tcBorders>
            <w:shd w:val="clear" w:color="000000" w:fill="BFBFBF"/>
            <w:noWrap/>
            <w:vAlign w:val="bottom"/>
            <w:hideMark/>
          </w:tcPr>
          <w:p w:rsidR="00FC454B" w:rsidRPr="00604E93" w:rsidRDefault="00FC454B" w:rsidP="00FC454B">
            <w:pPr>
              <w:jc w:val="center"/>
              <w:rPr>
                <w:rFonts w:ascii="Century Gothic" w:hAnsi="Century Gothic" w:cs="Calibri"/>
                <w:b/>
                <w:bCs/>
                <w:color w:val="000000"/>
                <w:sz w:val="18"/>
                <w:szCs w:val="18"/>
              </w:rPr>
            </w:pPr>
            <w:r w:rsidRPr="00604E93">
              <w:rPr>
                <w:rFonts w:ascii="Century Gothic" w:hAnsi="Century Gothic" w:cs="Calibri"/>
                <w:b/>
                <w:bCs/>
                <w:color w:val="000000"/>
                <w:sz w:val="18"/>
                <w:szCs w:val="18"/>
              </w:rPr>
              <w:t>Stávající</w:t>
            </w:r>
          </w:p>
        </w:tc>
        <w:tc>
          <w:tcPr>
            <w:tcW w:w="820" w:type="dxa"/>
            <w:tcBorders>
              <w:top w:val="single" w:sz="8" w:space="0" w:color="auto"/>
              <w:left w:val="nil"/>
              <w:bottom w:val="single" w:sz="4" w:space="0" w:color="auto"/>
              <w:right w:val="single" w:sz="4" w:space="0" w:color="auto"/>
            </w:tcBorders>
            <w:shd w:val="clear" w:color="000000" w:fill="BFBFBF"/>
            <w:noWrap/>
            <w:vAlign w:val="bottom"/>
            <w:hideMark/>
          </w:tcPr>
          <w:p w:rsidR="00FC454B" w:rsidRPr="00604E93" w:rsidRDefault="00FC454B" w:rsidP="00FC454B">
            <w:pPr>
              <w:jc w:val="center"/>
              <w:rPr>
                <w:rFonts w:ascii="Century Gothic" w:hAnsi="Century Gothic" w:cs="Calibri"/>
                <w:b/>
                <w:bCs/>
                <w:color w:val="000000"/>
                <w:sz w:val="18"/>
                <w:szCs w:val="18"/>
              </w:rPr>
            </w:pPr>
            <w:r w:rsidRPr="00604E93">
              <w:rPr>
                <w:rFonts w:ascii="Century Gothic" w:hAnsi="Century Gothic" w:cs="Calibri"/>
                <w:b/>
                <w:bCs/>
                <w:color w:val="000000"/>
                <w:sz w:val="18"/>
                <w:szCs w:val="18"/>
              </w:rPr>
              <w:t>Celkem</w:t>
            </w:r>
          </w:p>
        </w:tc>
        <w:tc>
          <w:tcPr>
            <w:tcW w:w="780" w:type="dxa"/>
            <w:tcBorders>
              <w:top w:val="single" w:sz="8" w:space="0" w:color="auto"/>
              <w:left w:val="nil"/>
              <w:bottom w:val="single" w:sz="4" w:space="0" w:color="auto"/>
              <w:right w:val="single" w:sz="8" w:space="0" w:color="auto"/>
            </w:tcBorders>
            <w:shd w:val="clear" w:color="000000" w:fill="BFBFBF"/>
            <w:noWrap/>
            <w:vAlign w:val="bottom"/>
            <w:hideMark/>
          </w:tcPr>
          <w:p w:rsidR="00FC454B" w:rsidRPr="00604E93" w:rsidRDefault="00FC454B" w:rsidP="00FC454B">
            <w:pPr>
              <w:jc w:val="center"/>
              <w:rPr>
                <w:rFonts w:ascii="Century Gothic" w:hAnsi="Century Gothic" w:cs="Calibri"/>
                <w:b/>
                <w:bCs/>
                <w:color w:val="000000"/>
                <w:sz w:val="18"/>
                <w:szCs w:val="18"/>
              </w:rPr>
            </w:pPr>
            <w:r w:rsidRPr="00604E93">
              <w:rPr>
                <w:rFonts w:ascii="Century Gothic" w:hAnsi="Century Gothic" w:cs="Calibri"/>
                <w:b/>
                <w:bCs/>
                <w:color w:val="000000"/>
                <w:sz w:val="18"/>
                <w:szCs w:val="18"/>
              </w:rPr>
              <w:t>Kácené</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Taxus</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baccata 'Fastigiata'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tis červený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Thuja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sp.</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 xml:space="preserve">zerav </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7</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7</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7</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3</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Juniperus</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horizontalis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jalovec polehlý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19</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19</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4</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Juniperus</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sabina 'Tamariscifolia'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jalovec chvojka</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29</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29</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5</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Juniperus</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sp.</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 xml:space="preserve">jalovec </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6</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Betula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jacquemontii</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bříza jacquemontii</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8</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8</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7</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Betula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pendula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bříza bělokorá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8</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Buddleia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davidii</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komule Davidova</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9</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Magnolia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stellata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šácholan hvězdokvětý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10</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Prunus</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laurocerasus 'Schipkaensis'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střemcha vavřínová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18</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18</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11</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Rosa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 xml:space="preserve"> 'TheFairy' (světle růžová)</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růže půdopokryvná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69</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69</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12</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Spiraea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decumbens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tavolník poléhavý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30</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13</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Spiraea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sp.</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 xml:space="preserve">tavolník </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14</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Stephanandra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incisa 'Crispa'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4E65EC" w:rsidP="00FC454B">
            <w:pPr>
              <w:rPr>
                <w:rFonts w:ascii="Century Gothic" w:hAnsi="Century Gothic" w:cs="Calibri"/>
                <w:color w:val="000000"/>
                <w:sz w:val="18"/>
                <w:szCs w:val="18"/>
              </w:rPr>
            </w:pPr>
            <w:r w:rsidRPr="00604E93">
              <w:rPr>
                <w:rFonts w:ascii="Century Gothic" w:hAnsi="Century Gothic" w:cs="Calibri"/>
                <w:color w:val="000000"/>
                <w:sz w:val="18"/>
                <w:szCs w:val="18"/>
              </w:rPr>
              <w:t>K</w:t>
            </w:r>
            <w:r w:rsidR="00FC454B" w:rsidRPr="00604E93">
              <w:rPr>
                <w:rFonts w:ascii="Century Gothic" w:hAnsi="Century Gothic" w:cs="Calibri"/>
                <w:color w:val="000000"/>
                <w:sz w:val="18"/>
                <w:szCs w:val="18"/>
              </w:rPr>
              <w:t>orunatka</w:t>
            </w:r>
            <w:r>
              <w:rPr>
                <w:rFonts w:ascii="Century Gothic" w:hAnsi="Century Gothic" w:cs="Calibri"/>
                <w:color w:val="000000"/>
                <w:sz w:val="18"/>
                <w:szCs w:val="18"/>
              </w:rPr>
              <w:t xml:space="preserve"> </w:t>
            </w:r>
            <w:r w:rsidR="00FC454B" w:rsidRPr="00604E93">
              <w:rPr>
                <w:rFonts w:ascii="Century Gothic" w:hAnsi="Century Gothic" w:cs="Calibri"/>
                <w:color w:val="000000"/>
                <w:sz w:val="18"/>
                <w:szCs w:val="18"/>
              </w:rPr>
              <w:t>klaná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63</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63</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15</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Symphoricarpos x chenaultii 'Hancock'</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pámelník Chenaultův</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54</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54</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16</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Syringa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microphylla 'Superba'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šeřík malolistý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17</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Viburnum</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opulus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kalina obecná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16</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16</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18</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Viburnum</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opulus 'Nanum'</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kalina obecná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35</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35</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19</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Viburnumplicatum 'Mariesii'</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kalina japonská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6</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Anemone</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hupehensis var. japonica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sasanka</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21</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Aster dumosus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hvězdnice hustokvětá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22</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Aster laterifolius 'Lady in Black'</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hvězdnice pokřivená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32</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32</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23</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Calamagrostis x acutiflora 'Karl Foerster'</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třtina ostrokvětá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41</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41</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24</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Echinacea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purpurea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Třapatka nachová</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13</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33</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25</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Euphorbia</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polychroma</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pryšec mnohobarvý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15</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15</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26</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Geranium x magnificum 'Blue Blood'</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kakost</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00"/>
        </w:trPr>
        <w:tc>
          <w:tcPr>
            <w:tcW w:w="540" w:type="dxa"/>
            <w:tcBorders>
              <w:top w:val="nil"/>
              <w:left w:val="single" w:sz="8" w:space="0" w:color="auto"/>
              <w:bottom w:val="single" w:sz="4"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27</w:t>
            </w:r>
          </w:p>
        </w:tc>
        <w:tc>
          <w:tcPr>
            <w:tcW w:w="388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Lupinus x hybridus</w:t>
            </w:r>
          </w:p>
        </w:tc>
        <w:tc>
          <w:tcPr>
            <w:tcW w:w="22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vlčí bob mnohokvětý</w:t>
            </w:r>
          </w:p>
        </w:tc>
        <w:tc>
          <w:tcPr>
            <w:tcW w:w="60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4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820" w:type="dxa"/>
            <w:tcBorders>
              <w:top w:val="nil"/>
              <w:left w:val="nil"/>
              <w:bottom w:val="single" w:sz="4"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20</w:t>
            </w:r>
          </w:p>
        </w:tc>
        <w:tc>
          <w:tcPr>
            <w:tcW w:w="780" w:type="dxa"/>
            <w:tcBorders>
              <w:top w:val="nil"/>
              <w:left w:val="nil"/>
              <w:bottom w:val="single" w:sz="4"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r w:rsidR="00FC454B" w:rsidRPr="00604E93" w:rsidTr="00FC454B">
        <w:trPr>
          <w:trHeight w:val="315"/>
        </w:trPr>
        <w:tc>
          <w:tcPr>
            <w:tcW w:w="540" w:type="dxa"/>
            <w:tcBorders>
              <w:top w:val="nil"/>
              <w:left w:val="single" w:sz="8" w:space="0" w:color="auto"/>
              <w:bottom w:val="single" w:sz="8" w:space="0" w:color="auto"/>
              <w:right w:val="single" w:sz="4" w:space="0" w:color="auto"/>
            </w:tcBorders>
            <w:shd w:val="clear" w:color="auto" w:fill="auto"/>
            <w:noWrap/>
            <w:vAlign w:val="bottom"/>
            <w:hideMark/>
          </w:tcPr>
          <w:p w:rsidR="00FC454B" w:rsidRPr="00604E93" w:rsidRDefault="00FC454B" w:rsidP="00FC454B">
            <w:pPr>
              <w:jc w:val="right"/>
              <w:rPr>
                <w:rFonts w:ascii="Century Gothic" w:hAnsi="Century Gothic" w:cs="Calibri"/>
                <w:color w:val="000000"/>
                <w:sz w:val="18"/>
                <w:szCs w:val="18"/>
              </w:rPr>
            </w:pPr>
            <w:r w:rsidRPr="00604E93">
              <w:rPr>
                <w:rFonts w:ascii="Century Gothic" w:hAnsi="Century Gothic" w:cs="Calibri"/>
                <w:color w:val="000000"/>
                <w:sz w:val="18"/>
                <w:szCs w:val="18"/>
              </w:rPr>
              <w:t>28</w:t>
            </w:r>
          </w:p>
        </w:tc>
        <w:tc>
          <w:tcPr>
            <w:tcW w:w="3880" w:type="dxa"/>
            <w:tcBorders>
              <w:top w:val="nil"/>
              <w:left w:val="nil"/>
              <w:bottom w:val="single" w:sz="8" w:space="0" w:color="auto"/>
              <w:right w:val="single" w:sz="4" w:space="0" w:color="auto"/>
            </w:tcBorders>
            <w:shd w:val="clear" w:color="auto" w:fill="auto"/>
            <w:noWrap/>
            <w:vAlign w:val="bottom"/>
            <w:hideMark/>
          </w:tcPr>
          <w:p w:rsidR="00FC454B" w:rsidRPr="00604E93" w:rsidRDefault="00FC454B" w:rsidP="00FC454B">
            <w:pPr>
              <w:rPr>
                <w:rFonts w:ascii="Century Gothic" w:hAnsi="Century Gothic" w:cs="Calibri"/>
                <w:color w:val="000000"/>
                <w:sz w:val="18"/>
                <w:szCs w:val="18"/>
              </w:rPr>
            </w:pPr>
            <w:r w:rsidRPr="00604E93">
              <w:rPr>
                <w:rFonts w:ascii="Century Gothic" w:hAnsi="Century Gothic" w:cs="Calibri"/>
                <w:color w:val="000000"/>
                <w:sz w:val="18"/>
                <w:szCs w:val="18"/>
              </w:rPr>
              <w:t>Pennisetum</w:t>
            </w:r>
            <w:r w:rsidR="00604E93">
              <w:rPr>
                <w:rFonts w:ascii="Century Gothic" w:hAnsi="Century Gothic" w:cs="Calibri"/>
                <w:color w:val="000000"/>
                <w:sz w:val="18"/>
                <w:szCs w:val="18"/>
              </w:rPr>
              <w:t xml:space="preserve"> </w:t>
            </w:r>
            <w:r w:rsidRPr="00604E93">
              <w:rPr>
                <w:rFonts w:ascii="Century Gothic" w:hAnsi="Century Gothic" w:cs="Calibri"/>
                <w:color w:val="000000"/>
                <w:sz w:val="18"/>
                <w:szCs w:val="18"/>
              </w:rPr>
              <w:t>alopecuroides 'Hameln'</w:t>
            </w:r>
          </w:p>
        </w:tc>
        <w:tc>
          <w:tcPr>
            <w:tcW w:w="2200" w:type="dxa"/>
            <w:tcBorders>
              <w:top w:val="nil"/>
              <w:left w:val="nil"/>
              <w:bottom w:val="single" w:sz="8" w:space="0" w:color="auto"/>
              <w:right w:val="single" w:sz="4" w:space="0" w:color="auto"/>
            </w:tcBorders>
            <w:shd w:val="clear" w:color="auto" w:fill="auto"/>
            <w:noWrap/>
            <w:vAlign w:val="bottom"/>
            <w:hideMark/>
          </w:tcPr>
          <w:p w:rsidR="00FC454B" w:rsidRPr="00604E93" w:rsidRDefault="004E65EC" w:rsidP="00FC454B">
            <w:pPr>
              <w:rPr>
                <w:rFonts w:ascii="Century Gothic" w:hAnsi="Century Gothic" w:cs="Calibri"/>
                <w:color w:val="000000"/>
                <w:sz w:val="18"/>
                <w:szCs w:val="18"/>
              </w:rPr>
            </w:pPr>
            <w:r w:rsidRPr="00604E93">
              <w:rPr>
                <w:rFonts w:ascii="Century Gothic" w:hAnsi="Century Gothic" w:cs="Calibri"/>
                <w:color w:val="000000"/>
                <w:sz w:val="18"/>
                <w:szCs w:val="18"/>
              </w:rPr>
              <w:t>D</w:t>
            </w:r>
            <w:r w:rsidR="00FC454B" w:rsidRPr="00604E93">
              <w:rPr>
                <w:rFonts w:ascii="Century Gothic" w:hAnsi="Century Gothic" w:cs="Calibri"/>
                <w:color w:val="000000"/>
                <w:sz w:val="18"/>
                <w:szCs w:val="18"/>
              </w:rPr>
              <w:t>ochan</w:t>
            </w:r>
            <w:r>
              <w:rPr>
                <w:rFonts w:ascii="Century Gothic" w:hAnsi="Century Gothic" w:cs="Calibri"/>
                <w:color w:val="000000"/>
                <w:sz w:val="18"/>
                <w:szCs w:val="18"/>
              </w:rPr>
              <w:t xml:space="preserve"> </w:t>
            </w:r>
            <w:r w:rsidR="00FC454B" w:rsidRPr="00604E93">
              <w:rPr>
                <w:rFonts w:ascii="Century Gothic" w:hAnsi="Century Gothic" w:cs="Calibri"/>
                <w:color w:val="000000"/>
                <w:sz w:val="18"/>
                <w:szCs w:val="18"/>
              </w:rPr>
              <w:t>psárkovitý</w:t>
            </w:r>
          </w:p>
        </w:tc>
        <w:tc>
          <w:tcPr>
            <w:tcW w:w="600" w:type="dxa"/>
            <w:tcBorders>
              <w:top w:val="nil"/>
              <w:left w:val="nil"/>
              <w:bottom w:val="single" w:sz="8"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13</w:t>
            </w:r>
          </w:p>
        </w:tc>
        <w:tc>
          <w:tcPr>
            <w:tcW w:w="840" w:type="dxa"/>
            <w:tcBorders>
              <w:top w:val="nil"/>
              <w:left w:val="nil"/>
              <w:bottom w:val="single" w:sz="8"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0</w:t>
            </w:r>
          </w:p>
        </w:tc>
        <w:tc>
          <w:tcPr>
            <w:tcW w:w="820" w:type="dxa"/>
            <w:tcBorders>
              <w:top w:val="nil"/>
              <w:left w:val="nil"/>
              <w:bottom w:val="single" w:sz="8" w:space="0" w:color="auto"/>
              <w:right w:val="single" w:sz="4"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13</w:t>
            </w:r>
          </w:p>
        </w:tc>
        <w:tc>
          <w:tcPr>
            <w:tcW w:w="780" w:type="dxa"/>
            <w:tcBorders>
              <w:top w:val="nil"/>
              <w:left w:val="nil"/>
              <w:bottom w:val="single" w:sz="8" w:space="0" w:color="auto"/>
              <w:right w:val="single" w:sz="8" w:space="0" w:color="auto"/>
            </w:tcBorders>
            <w:shd w:val="clear" w:color="auto" w:fill="auto"/>
            <w:noWrap/>
            <w:vAlign w:val="bottom"/>
            <w:hideMark/>
          </w:tcPr>
          <w:p w:rsidR="00FC454B" w:rsidRPr="00604E93" w:rsidRDefault="00FC454B" w:rsidP="00FC454B">
            <w:pPr>
              <w:jc w:val="center"/>
              <w:rPr>
                <w:rFonts w:ascii="Century Gothic" w:hAnsi="Century Gothic" w:cs="Calibri"/>
                <w:color w:val="000000"/>
                <w:sz w:val="18"/>
                <w:szCs w:val="18"/>
              </w:rPr>
            </w:pPr>
            <w:r w:rsidRPr="00604E93">
              <w:rPr>
                <w:rFonts w:ascii="Century Gothic" w:hAnsi="Century Gothic" w:cs="Calibri"/>
                <w:color w:val="000000"/>
                <w:sz w:val="18"/>
                <w:szCs w:val="18"/>
              </w:rPr>
              <w:t> </w:t>
            </w:r>
          </w:p>
        </w:tc>
      </w:tr>
    </w:tbl>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 xml:space="preserve"> TECHNICKÉ POKYNY PRO REALIZACI SADOVICKÝCH ÚPRAV </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4.1.  Příprava před založením kultury</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Stanoviště je nutné v oblasti budoucího prokořenitelného prostoru řádně připravit před zahájením výsadby. Příprava se týká především: odstranění vytrvalých plevelů včetně jejich vegetačních, regenerace schopných částí, odstranění nežádoucích materiálů a případná výměna kontaminované či nevhodné půdy, úprava stanoviště včetně případné navážky vegetační vrstvy půdy.Je nutné přihlížet ke kvalitě půdy v lokalitě výsadby v budoucím prokořenitelném prostoru. Nejdůležitější je svrchní vrstva do hloubky 400 mm. Pokud zemina v místě výsadby nesplňuje optimální </w:t>
      </w:r>
      <w:r w:rsidR="008175A8">
        <w:rPr>
          <w:rFonts w:ascii="Century Gothic" w:eastAsia="Century Gothic" w:hAnsi="Century Gothic" w:cs="Century Gothic"/>
          <w:color w:val="000000"/>
        </w:rPr>
        <w:t>podmínky, měla by být vylepšena</w:t>
      </w:r>
      <w:r w:rsidR="00130834">
        <w:rPr>
          <w:rFonts w:ascii="Century Gothic" w:eastAsia="Century Gothic" w:hAnsi="Century Gothic" w:cs="Century Gothic"/>
          <w:color w:val="000000"/>
        </w:rPr>
        <w:t xml:space="preserve">. </w:t>
      </w:r>
      <w:r>
        <w:rPr>
          <w:rFonts w:ascii="Century Gothic" w:eastAsia="Century Gothic" w:hAnsi="Century Gothic" w:cs="Century Gothic"/>
          <w:color w:val="000000"/>
        </w:rPr>
        <w:t>Zpracování půdy se řídí ČSN 83 9011.</w:t>
      </w:r>
    </w:p>
    <w:p w:rsidR="008175A8" w:rsidRDefault="008175A8">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Dojde k odstranění stávající zpevněné plochy vedle parkoviště a betonové zídky pod touto plochou. Celý terén se pozvolna vysvahuje.</w:t>
      </w: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Půda na záhonech bude upravena do 0,4m hloubky nakopáním. Do půdy bude zapracován kompost v dávce 0,02m3 na 1m2.</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0C3B62" w:rsidRDefault="000C3B62" w:rsidP="000C3B62">
      <w:pPr>
        <w:pBdr>
          <w:top w:val="nil"/>
          <w:left w:val="nil"/>
          <w:bottom w:val="nil"/>
          <w:right w:val="nil"/>
          <w:between w:val="nil"/>
        </w:pBdr>
        <w:rPr>
          <w:rFonts w:ascii="Century Gothic" w:eastAsia="Century Gothic" w:hAnsi="Century Gothic" w:cs="Century Gothic"/>
          <w:b/>
          <w:color w:val="000000"/>
        </w:rPr>
      </w:pPr>
    </w:p>
    <w:p w:rsidR="000C3B62" w:rsidRDefault="000C3B62" w:rsidP="000C3B62">
      <w:pPr>
        <w:pBdr>
          <w:top w:val="nil"/>
          <w:left w:val="nil"/>
          <w:bottom w:val="nil"/>
          <w:right w:val="nil"/>
          <w:between w:val="nil"/>
        </w:pBdr>
        <w:rPr>
          <w:rFonts w:ascii="Century Gothic" w:eastAsia="Century Gothic" w:hAnsi="Century Gothic" w:cs="Century Gothic"/>
          <w:b/>
          <w:color w:val="000000"/>
        </w:rPr>
      </w:pPr>
    </w:p>
    <w:p w:rsidR="000C3B62" w:rsidRDefault="00074A87" w:rsidP="000C3B62">
      <w:pPr>
        <w:pBdr>
          <w:top w:val="nil"/>
          <w:left w:val="nil"/>
          <w:bottom w:val="nil"/>
          <w:right w:val="nil"/>
          <w:between w:val="nil"/>
        </w:pBdr>
        <w:rPr>
          <w:rFonts w:ascii="Century Gothic" w:eastAsia="Century Gothic" w:hAnsi="Century Gothic" w:cs="Century Gothic"/>
          <w:b/>
          <w:color w:val="000000"/>
        </w:rPr>
      </w:pPr>
      <w:r>
        <w:rPr>
          <w:rFonts w:ascii="Century Gothic" w:eastAsia="Century Gothic" w:hAnsi="Century Gothic" w:cs="Century Gothic"/>
          <w:b/>
          <w:color w:val="000000"/>
        </w:rPr>
        <w:lastRenderedPageBreak/>
        <w:t>4.</w:t>
      </w:r>
      <w:r w:rsidR="00C93730">
        <w:rPr>
          <w:rFonts w:ascii="Century Gothic" w:eastAsia="Century Gothic" w:hAnsi="Century Gothic" w:cs="Century Gothic"/>
          <w:b/>
          <w:color w:val="000000"/>
        </w:rPr>
        <w:t>2</w:t>
      </w:r>
      <w:r>
        <w:rPr>
          <w:rFonts w:ascii="Century Gothic" w:eastAsia="Century Gothic" w:hAnsi="Century Gothic" w:cs="Century Gothic"/>
          <w:b/>
          <w:color w:val="000000"/>
        </w:rPr>
        <w:t>. Vlastní výsadba</w:t>
      </w:r>
    </w:p>
    <w:p w:rsidR="007A21B2" w:rsidRDefault="00074A87" w:rsidP="000C3B62">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i/>
          <w:color w:val="000000"/>
        </w:rPr>
        <w:t xml:space="preserve"> Výsadba záhonů</w:t>
      </w:r>
      <w:r>
        <w:rPr>
          <w:rFonts w:ascii="Century Gothic" w:eastAsia="Century Gothic" w:hAnsi="Century Gothic" w:cs="Century Gothic"/>
          <w:color w:val="000000"/>
        </w:rPr>
        <w:t xml:space="preserve">:  Před samotnou výsadbou, budou dle osazovacího plánu vytýčeny záhony. Obryty do hloubky 0,1m. Tedy kolmá stěna bude od strany </w:t>
      </w:r>
      <w:r w:rsidR="00F92639">
        <w:rPr>
          <w:rFonts w:ascii="Century Gothic" w:eastAsia="Century Gothic" w:hAnsi="Century Gothic" w:cs="Century Gothic"/>
          <w:color w:val="000000"/>
        </w:rPr>
        <w:t>obrubníků a trávníku a</w:t>
      </w:r>
      <w:r>
        <w:rPr>
          <w:rFonts w:ascii="Century Gothic" w:eastAsia="Century Gothic" w:hAnsi="Century Gothic" w:cs="Century Gothic"/>
          <w:color w:val="000000"/>
        </w:rPr>
        <w:t xml:space="preserve"> směrem k záhonu se terén dorovná. Do půdy bude zapracován substrát s příměsí kompostu a ornice. Následně proběhne výsadba. Pro výsadbu budou použity výpěstky zdravé, nepoškozené, pokud možno předpěstované v podobných klimatických podmínkách jak mají Beskydy. U rostlin v pěstebních nádobách je nutné uvolnit přirozeně utvořené kořeny a zakrátit jejich poškozené části. V případě plného prokořenění pěstební nádoby je nutné proříznout plstnatějící vrstvu kořenů na obvodu balu. Při zásahu do kořenového balu nesmí dojít k jeho rozdrobení a současně k poškození v</w:t>
      </w:r>
      <w:r w:rsidR="00F92639">
        <w:rPr>
          <w:rFonts w:ascii="Century Gothic" w:eastAsia="Century Gothic" w:hAnsi="Century Gothic" w:cs="Century Gothic"/>
          <w:color w:val="000000"/>
        </w:rPr>
        <w:t>íce než 1/3 kořenového systému.</w:t>
      </w:r>
      <w:r>
        <w:rPr>
          <w:rFonts w:ascii="Century Gothic" w:eastAsia="Century Gothic" w:hAnsi="Century Gothic" w:cs="Century Gothic"/>
          <w:color w:val="000000"/>
        </w:rPr>
        <w:t xml:space="preserve"> Rostliny s balem a v pěstební nádobě lze vysazovat kromě období vegetačního klidu i v období vegetace, pokud byly odpovídajícím způsobem připravené. Při výsadbě dochází k umístění kořenového krčku nebo rozvětvení rostliny do úrovně terénu nebo mírně pod něj. U očkovaných keřových růží se umisťuje místo očkování přibližně 40 mm pod úrovní terénu. Podobně lze vysazovat dřeviny rozmnožované dřevitými řízky. Součástí výsadby je vždy odpovídající zálivka. Závlahová dávka musí odpovídat nutnosti provlhčení půdy pod spodní úroveň výsadbové jámy. Zohledňuje se půdní typ stanoviště. Voda používaná pro zálivku nesmí být kontaminovaná a musí odpovídat ČSN 75 7143.  Celá plochá záhonu bude následně překrytá netkanou textilií a zamulčovaná drcenou kůrou. Plocha záhonů je </w:t>
      </w:r>
      <w:r w:rsidR="00F3521A" w:rsidRPr="00F3521A">
        <w:rPr>
          <w:rFonts w:ascii="Century Gothic" w:eastAsia="Century Gothic" w:hAnsi="Century Gothic" w:cs="Century Gothic"/>
        </w:rPr>
        <w:t>156</w:t>
      </w:r>
      <w:r>
        <w:rPr>
          <w:rFonts w:ascii="Century Gothic" w:eastAsia="Century Gothic" w:hAnsi="Century Gothic" w:cs="Century Gothic"/>
          <w:color w:val="000000"/>
        </w:rPr>
        <w:t>m2.</w:t>
      </w:r>
    </w:p>
    <w:p w:rsidR="007A21B2" w:rsidRDefault="007A21B2">
      <w:pPr>
        <w:pBdr>
          <w:top w:val="nil"/>
          <w:left w:val="nil"/>
          <w:bottom w:val="nil"/>
          <w:right w:val="nil"/>
          <w:between w:val="nil"/>
        </w:pBdr>
        <w:jc w:val="both"/>
        <w:rPr>
          <w:rFonts w:ascii="Century Gothic" w:eastAsia="Century Gothic" w:hAnsi="Century Gothic" w:cs="Century Gothic"/>
          <w:color w:val="000000"/>
        </w:rPr>
      </w:pP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i/>
          <w:color w:val="000000"/>
        </w:rPr>
        <w:t xml:space="preserve"> Výsadba stromů:</w:t>
      </w:r>
      <w:r>
        <w:rPr>
          <w:rFonts w:ascii="Century Gothic" w:eastAsia="Century Gothic" w:hAnsi="Century Gothic" w:cs="Century Gothic"/>
          <w:color w:val="000000"/>
        </w:rPr>
        <w:t xml:space="preserve"> Sazenice stromů musí splňovat ukazatele jakosti ČSN 46 4902. Sazenice stromů musí být zdravé, bez známek poškození kmene a kosterních větví s vyzrálými výhony, prosty chorob a škůdců. Musí odpovídat charakteristickým znakům daného taxonu. Maximální průměr nezakalusovaných ran je 20 mm, přičemž je nutné respektování třetinového pravidla. Pro výsadbu listnatých stromů budou použity sazenice s balem </w:t>
      </w:r>
      <w:r w:rsidR="00F92639">
        <w:rPr>
          <w:rFonts w:ascii="Century Gothic" w:eastAsia="Century Gothic" w:hAnsi="Century Gothic" w:cs="Century Gothic"/>
          <w:color w:val="000000"/>
        </w:rPr>
        <w:t>výšky 250-275 cm</w:t>
      </w:r>
      <w:r>
        <w:rPr>
          <w:rFonts w:ascii="Century Gothic" w:eastAsia="Century Gothic" w:hAnsi="Century Gothic" w:cs="Century Gothic"/>
          <w:color w:val="000000"/>
        </w:rPr>
        <w:t>.</w:t>
      </w:r>
      <w:r w:rsidR="00E93173">
        <w:rPr>
          <w:rFonts w:ascii="Century Gothic" w:eastAsia="Century Gothic" w:hAnsi="Century Gothic" w:cs="Century Gothic"/>
          <w:color w:val="000000"/>
        </w:rPr>
        <w:t xml:space="preserve"> Budou použity vícekmenné výpěstky ze zapěstováním v 50 cm od země.</w:t>
      </w:r>
      <w:r w:rsidR="00F92639">
        <w:rPr>
          <w:rFonts w:ascii="Century Gothic" w:eastAsia="Century Gothic" w:hAnsi="Century Gothic" w:cs="Century Gothic"/>
          <w:color w:val="000000"/>
        </w:rPr>
        <w:t xml:space="preserve"> </w:t>
      </w:r>
      <w:r>
        <w:rPr>
          <w:rFonts w:ascii="Century Gothic" w:eastAsia="Century Gothic" w:hAnsi="Century Gothic" w:cs="Century Gothic"/>
          <w:color w:val="000000"/>
        </w:rPr>
        <w:t>Zvýšená pozornost musí být věnována kořenům, kořenovému balu a kořenovému krčku. Minimálně 1% náhodně vybraných sazenic stromů může být pečlivě prohlédnuto a překontrolováno (u stromů dodávaných v kontejneru či s balem, včetně možnosti rozebrání balu nebo kontejneru). Zjišťují se zejména následující parametry: rány po přerušení kořenů (maximální průměr rány je 30 mm), dostatečný počet rovnoměrně rozložených hlavních i jemných vedlejších kořenů s přihlédnutím k vlastnostem jednotlivých taxonů, kořeny nesmí být přeschlé, nesmí být patrné symptomy houbové infekce, pozice kořenového krčku v balu (nesmí být umístěný pod úrovní půdy – „utopený“ ani nad balem). Při výsadbě stromů s balem musí být pletivo chránící bal ze žíhaného, povrchově neupraveného pletiva. Plachetka chránící zemní bal musí být z přírodního, lehce rozložitelného materiálu. Stromy s baly obalenými materiálem neodpovídajícím této specifikaci jsou nestandardním materiálem a je zde důvod pro odmítnutí jejich převzetí. Na nepozměněných, nezhutněných stanovištích je velikost výsadbové jámy dána průměrem balu, kontejneru nebo šířkou kořenového systému prostokořenné sazenice. Šíře výsadbové jámy je minimálně 1,5 násobkem výše zmíněného rozměru.</w:t>
      </w:r>
      <w:r w:rsidR="00E93173">
        <w:rPr>
          <w:rFonts w:ascii="Century Gothic" w:eastAsia="Century Gothic" w:hAnsi="Century Gothic" w:cs="Century Gothic"/>
          <w:color w:val="000000"/>
        </w:rPr>
        <w:t xml:space="preserve"> </w:t>
      </w:r>
      <w:r>
        <w:rPr>
          <w:rFonts w:ascii="Century Gothic" w:eastAsia="Century Gothic" w:hAnsi="Century Gothic" w:cs="Century Gothic"/>
          <w:color w:val="000000"/>
        </w:rPr>
        <w:t xml:space="preserve">Tvar výsadbové jámy na písčitých až středně těžkých půdách není důležitý. V jílovitých nebo zhutněných půdách je vhodnější hranatý nebo paprsčitý tvar. Stěny jámy musí být zdrsněné a nesmí působit jako neprostupná překážka pro kořeny. Dno výsadbové jámy nesmí být hladké a zhutněné, je nutné jej narušit. Hloubka výsadbové jámy by neměla přesáhnout velikost balu nebo kořenového systému sazenice. Při kopání jámy by nemělo dojít k promísení vrstev půdy. Svrchní vrstva by měla být oddělena od spodních vrstev. Dno jámy musí být upraveno tak, aby nedošlo k následnému poklesu kořenového krčku vysazeného stromu. </w:t>
      </w:r>
    </w:p>
    <w:p w:rsidR="007A21B2" w:rsidRDefault="00074A87">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Kořenový krček stromu musí být usazen v rovině s terénem nebo lehce nad terén, nesmí být zasypán. Kořeny nebo vrchní část kořenového balu musí být po výsadbě překryta vrstvou zeminy nejméně 20 mm. Drátěné pletivo balu musí být v horní části uvolněné, vrchní stahovací drát musí být přestřižený. Musí být zkontrolována skutečná pozice kořenového krčku v balu či kontejneru. Zálivka jako součást výsadby se provádí do otevřené jámy, aby byl minimalizován vznik vzduchových kapes. Zálivka musí prosytit rovnoměrně půdu v celé výsadbové jámě. </w:t>
      </w:r>
      <w:r w:rsidR="009518B4">
        <w:rPr>
          <w:rFonts w:ascii="Century Gothic" w:eastAsia="Century Gothic" w:hAnsi="Century Gothic" w:cs="Century Gothic"/>
          <w:color w:val="000000"/>
        </w:rPr>
        <w:t xml:space="preserve">Stromy </w:t>
      </w:r>
      <w:r>
        <w:rPr>
          <w:rFonts w:ascii="Century Gothic" w:eastAsia="Century Gothic" w:hAnsi="Century Gothic" w:cs="Century Gothic"/>
          <w:color w:val="000000"/>
        </w:rPr>
        <w:t xml:space="preserve">je nutné při výsadbě pevně ukotvit pro zamezení trhání kořenů při pohybech nadzemní části.  Kůly použité pro kotvení musí být oloupané a musí mít životnost minimálně </w:t>
      </w:r>
      <w:r w:rsidR="009518B4">
        <w:rPr>
          <w:rFonts w:ascii="Century Gothic" w:eastAsia="Century Gothic" w:hAnsi="Century Gothic" w:cs="Century Gothic"/>
          <w:color w:val="000000"/>
        </w:rPr>
        <w:t>3</w:t>
      </w:r>
      <w:r>
        <w:rPr>
          <w:rFonts w:ascii="Century Gothic" w:eastAsia="Century Gothic" w:hAnsi="Century Gothic" w:cs="Century Gothic"/>
          <w:color w:val="000000"/>
        </w:rPr>
        <w:t xml:space="preserve"> roky. V případě požadavku na delší trvanlivost je vhodná hloubková impregnace kůlů. Úvazek musí být na kůlu zajištěn proti sklouznutí. Úvazky nesmí poškozovat kůru, ani bránit tloustnutí kmene. Kůly instalujeme během výsadby do otevřené výsadbové jámy, aby nedošlo k poškození kořenů. Kůly musí být ukotveny pode dnem výsadbové jámy. Výška kotvení je od 500 mm od země do nejvýše 100 mm pod nasazením koruny kmenných tvarů sazenic.</w:t>
      </w:r>
      <w:r w:rsidR="00A026CC">
        <w:rPr>
          <w:rFonts w:ascii="Century Gothic" w:eastAsia="Century Gothic" w:hAnsi="Century Gothic" w:cs="Century Gothic"/>
          <w:color w:val="000000"/>
        </w:rPr>
        <w:t xml:space="preserve"> Stromy budou ošetřeny ochranným nátěrem ARBO-FLEX.</w:t>
      </w:r>
      <w:r>
        <w:rPr>
          <w:rFonts w:ascii="Century Gothic" w:eastAsia="Century Gothic" w:hAnsi="Century Gothic" w:cs="Century Gothic"/>
          <w:color w:val="000000"/>
        </w:rPr>
        <w:t xml:space="preserve"> Vysazené stromy je vhodné zamulčovat vrstvou 80–100 mm mulčovacího materiálu. Mulč by neměl být v přímém kontaktu s kmenem. Před výsadbou se na stromu provede k</w:t>
      </w:r>
      <w:r w:rsidR="00A026CC">
        <w:rPr>
          <w:rFonts w:ascii="Century Gothic" w:eastAsia="Century Gothic" w:hAnsi="Century Gothic" w:cs="Century Gothic"/>
          <w:color w:val="000000"/>
        </w:rPr>
        <w:t>omparati</w:t>
      </w:r>
      <w:r>
        <w:rPr>
          <w:rFonts w:ascii="Century Gothic" w:eastAsia="Century Gothic" w:hAnsi="Century Gothic" w:cs="Century Gothic"/>
          <w:color w:val="000000"/>
        </w:rPr>
        <w:t>vní řez dle standardu SPPK A02 002 - Řez stromů.</w:t>
      </w:r>
      <w:r w:rsidR="00A026CC">
        <w:rPr>
          <w:rFonts w:ascii="Century Gothic" w:eastAsia="Century Gothic" w:hAnsi="Century Gothic" w:cs="Century Gothic"/>
          <w:color w:val="000000"/>
        </w:rPr>
        <w:t xml:space="preserve"> K výsadbě stromů musí být respektovány ochranná pásma inženýrských síti.</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826361" w:rsidRDefault="00826361">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FF0000"/>
        </w:rPr>
      </w:pPr>
      <w:r>
        <w:rPr>
          <w:rFonts w:ascii="Century Gothic" w:eastAsia="Century Gothic" w:hAnsi="Century Gothic" w:cs="Century Gothic"/>
          <w:b/>
          <w:color w:val="000000"/>
        </w:rPr>
        <w:lastRenderedPageBreak/>
        <w:t>4.</w:t>
      </w:r>
      <w:r w:rsidR="00C93730">
        <w:rPr>
          <w:rFonts w:ascii="Century Gothic" w:eastAsia="Century Gothic" w:hAnsi="Century Gothic" w:cs="Century Gothic"/>
          <w:b/>
          <w:color w:val="000000"/>
        </w:rPr>
        <w:t>3</w:t>
      </w:r>
      <w:r>
        <w:rPr>
          <w:rFonts w:ascii="Century Gothic" w:eastAsia="Century Gothic" w:hAnsi="Century Gothic" w:cs="Century Gothic"/>
          <w:b/>
          <w:color w:val="000000"/>
        </w:rPr>
        <w:t xml:space="preserve"> Péče o výsadby  </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t>4.</w:t>
      </w:r>
      <w:r w:rsidR="00C93730">
        <w:rPr>
          <w:rFonts w:ascii="Century Gothic" w:eastAsia="Century Gothic" w:hAnsi="Century Gothic" w:cs="Century Gothic"/>
          <w:b/>
          <w:color w:val="000000"/>
        </w:rPr>
        <w:t>3</w:t>
      </w:r>
      <w:r>
        <w:rPr>
          <w:rFonts w:ascii="Century Gothic" w:eastAsia="Century Gothic" w:hAnsi="Century Gothic" w:cs="Century Gothic"/>
          <w:b/>
          <w:color w:val="000000"/>
        </w:rPr>
        <w:t xml:space="preserve">.1 Rozvojová péče po dobu 3 let </w:t>
      </w:r>
    </w:p>
    <w:p w:rsidR="007A21B2" w:rsidRDefault="00074A87" w:rsidP="0005665C">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b/>
          <w:color w:val="000000"/>
        </w:rPr>
        <w:t xml:space="preserve">Keře </w:t>
      </w:r>
    </w:p>
    <w:p w:rsidR="007A21B2" w:rsidRDefault="00074A87" w:rsidP="0005665C">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Udržovací péče zahrnuje soubor zásahů, nutných k zachování plné funkční účinnosti porostů keřů a lián. Mezi tyto významné funkční zásahy náleží především udržovací a speciální typy řezů.</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Udržovací řezy - Provádí se u dospělých keřů a lián po období intenzivního růstu. Cílem udržovacích řezů je dlouhodobě zajistit vitalitu dřevin a plnění jejich předpokládaných funkcí. Hlavní pozornost je zaměřena na podporu přirozené nebo požadované (u dřevin pravidelně tvarovaných) architektury keře či liány a bohatosti a pravidelnosti jeho kvetení, popřípadě tvorby plodů.</w:t>
      </w:r>
      <w:r>
        <w:rPr>
          <w:rFonts w:ascii="Century Gothic" w:eastAsia="Century Gothic" w:hAnsi="Century Gothic" w:cs="Century Gothic"/>
          <w:color w:val="000000"/>
        </w:rPr>
        <w:tab/>
      </w:r>
    </w:p>
    <w:p w:rsidR="007A21B2" w:rsidRDefault="00074A87" w:rsidP="0005665C">
      <w:pPr>
        <w:numPr>
          <w:ilvl w:val="1"/>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Průklest (Prosvětlování) - Cílem je prosvětlení keře či liány a podpora jeho přirozené obnovy bazitonními výhony další generace. Podporována je také tvorba nových květních výhonů. </w:t>
      </w:r>
    </w:p>
    <w:p w:rsidR="007A21B2" w:rsidRDefault="00074A87" w:rsidP="0005665C">
      <w:pPr>
        <w:pBdr>
          <w:top w:val="nil"/>
          <w:left w:val="nil"/>
          <w:bottom w:val="nil"/>
          <w:right w:val="nil"/>
          <w:between w:val="nil"/>
        </w:pBdr>
        <w:ind w:left="1416"/>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Průklest spočívá v odstraňování částí: • přestárlých, • odumírajících a odumřelých, • napadených chorobami a škůdci, • zlomených či nalomených, • navzájem se křížících • větví zahušťujících keř či liánu, • popřípadě částí ohrožujících provozní bezpečnost. </w:t>
      </w:r>
    </w:p>
    <w:p w:rsidR="007A21B2" w:rsidRDefault="00074A87" w:rsidP="0005665C">
      <w:pPr>
        <w:numPr>
          <w:ilvl w:val="1"/>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Zmlazování (řez sesazovací) </w:t>
      </w:r>
    </w:p>
    <w:p w:rsidR="007A21B2" w:rsidRDefault="00074A87" w:rsidP="0005665C">
      <w:pPr>
        <w:pBdr>
          <w:top w:val="nil"/>
          <w:left w:val="nil"/>
          <w:bottom w:val="nil"/>
          <w:right w:val="nil"/>
          <w:between w:val="nil"/>
        </w:pBdr>
        <w:ind w:left="1440"/>
        <w:jc w:val="both"/>
        <w:rPr>
          <w:rFonts w:ascii="Century Gothic" w:eastAsia="Century Gothic" w:hAnsi="Century Gothic" w:cs="Century Gothic"/>
          <w:color w:val="000000"/>
        </w:rPr>
      </w:pPr>
      <w:r>
        <w:rPr>
          <w:rFonts w:ascii="Century Gothic" w:eastAsia="Century Gothic" w:hAnsi="Century Gothic" w:cs="Century Gothic"/>
          <w:color w:val="000000"/>
        </w:rPr>
        <w:t>Cílem je obnova funkčnosti keře úplným odstraněním nadzemní části staršího jedince.</w:t>
      </w:r>
    </w:p>
    <w:p w:rsidR="007A21B2" w:rsidRDefault="00074A87" w:rsidP="0005665C">
      <w:pPr>
        <w:pBdr>
          <w:top w:val="nil"/>
          <w:left w:val="nil"/>
          <w:bottom w:val="nil"/>
          <w:right w:val="nil"/>
          <w:between w:val="nil"/>
        </w:pBdr>
        <w:ind w:left="360"/>
        <w:jc w:val="both"/>
        <w:rPr>
          <w:rFonts w:ascii="Century Gothic" w:eastAsia="Century Gothic" w:hAnsi="Century Gothic" w:cs="Century Gothic"/>
          <w:color w:val="000000"/>
        </w:rPr>
      </w:pPr>
      <w:r>
        <w:rPr>
          <w:rFonts w:ascii="Century Gothic" w:eastAsia="Century Gothic" w:hAnsi="Century Gothic" w:cs="Century Gothic"/>
          <w:color w:val="000000"/>
        </w:rPr>
        <w:t>Další úkony udržovací péče:</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Odpíchnutí záhonu</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Odplevelení a případné doplnění kůry v záhonu (minimální tloušťka kůry - 8cm a maximální 15cm)</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Hnojení a kypření se provádí dle SPPK A02 001 – Výsadba stromů.</w:t>
      </w:r>
    </w:p>
    <w:p w:rsidR="007A21B2" w:rsidRDefault="00074A87" w:rsidP="0005665C">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b/>
          <w:color w:val="000000"/>
        </w:rPr>
        <w:t>Stromy</w:t>
      </w:r>
    </w:p>
    <w:p w:rsidR="007A21B2" w:rsidRDefault="00074A87" w:rsidP="0005665C">
      <w:p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Cílem udržovacích řezů je péče o dospívající a dospělé stromy s důrazem na zajišťování provozní bezpečnosti, pěstebních požadavků, eventuálně změny tvaru a velikosti jejich koruny dle potřeby stanoviště, pěstebního cíle a prodloužení jejich funkční životnosti.</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Řez zdravotní – Cílem je zabezpečení dlouhodobé funkce a perspektivy stromu s udržením jeho dobrého zdravotního stavu, vitality a provozní bezpečnosti. Odstraňuje se větve a výhony: nevhodné ve struktuře, s tlakovými vidlicemi či jinak narušeným větvením, mechanicky poškozené, zlomené, napadené chorobami či škůdci, uschlé a suché.</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Řez bezpečnostní – jedná se o řez zaměřený na zajištění aktuální provozní bezpečnosti stromu. Odstraňují či redukují se větve narušující aktuálně provozní bezpečnost: tlusté suché, zlomené, mechanicky poškozené, volně visící. Provádí se kdykoli během roku. </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Odstranění výmladků – odstranění kořenových a pařezových výmladků ze spodní části kmene a okolí stromu. Provádí se kdykoli během roku.</w:t>
      </w:r>
    </w:p>
    <w:p w:rsidR="007A21B2" w:rsidRDefault="00074A87" w:rsidP="0005665C">
      <w:pPr>
        <w:pBdr>
          <w:top w:val="nil"/>
          <w:left w:val="nil"/>
          <w:bottom w:val="nil"/>
          <w:right w:val="nil"/>
          <w:between w:val="nil"/>
        </w:pBdr>
        <w:ind w:left="360"/>
        <w:jc w:val="both"/>
        <w:rPr>
          <w:rFonts w:ascii="Century Gothic" w:eastAsia="Century Gothic" w:hAnsi="Century Gothic" w:cs="Century Gothic"/>
          <w:color w:val="000000"/>
        </w:rPr>
      </w:pPr>
      <w:r>
        <w:rPr>
          <w:rFonts w:ascii="Century Gothic" w:eastAsia="Century Gothic" w:hAnsi="Century Gothic" w:cs="Century Gothic"/>
          <w:color w:val="000000"/>
        </w:rPr>
        <w:t>Další úkony udržovací péče:</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Odstranění kotvícího systému</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Odstranění kmenových a kořenových výmladků (pouze u dřevin vyžadujících zásah).</w:t>
      </w:r>
    </w:p>
    <w:p w:rsidR="007A21B2" w:rsidRDefault="00074A87" w:rsidP="0005665C">
      <w:pPr>
        <w:numPr>
          <w:ilvl w:val="0"/>
          <w:numId w:val="3"/>
        </w:numPr>
        <w:pBdr>
          <w:top w:val="nil"/>
          <w:left w:val="nil"/>
          <w:bottom w:val="nil"/>
          <w:right w:val="nil"/>
          <w:between w:val="nil"/>
        </w:pBdr>
        <w:jc w:val="both"/>
        <w:rPr>
          <w:rFonts w:ascii="Century Gothic" w:eastAsia="Century Gothic" w:hAnsi="Century Gothic" w:cs="Century Gothic"/>
          <w:color w:val="000000"/>
        </w:rPr>
      </w:pPr>
      <w:r>
        <w:rPr>
          <w:rFonts w:ascii="Century Gothic" w:eastAsia="Century Gothic" w:hAnsi="Century Gothic" w:cs="Century Gothic"/>
          <w:color w:val="000000"/>
        </w:rPr>
        <w:t>Odplevelení a případné doplnění kůry u stromových mís (pouze u dřevin vyžadujících zásah).</w:t>
      </w:r>
    </w:p>
    <w:p w:rsidR="007A21B2" w:rsidRDefault="007A21B2">
      <w:pPr>
        <w:pBdr>
          <w:top w:val="nil"/>
          <w:left w:val="nil"/>
          <w:bottom w:val="nil"/>
          <w:right w:val="nil"/>
          <w:between w:val="nil"/>
        </w:pBdr>
        <w:rPr>
          <w:rFonts w:ascii="Century Gothic" w:eastAsia="Century Gothic" w:hAnsi="Century Gothic" w:cs="Century Gothic"/>
          <w:color w:val="000000"/>
        </w:rPr>
      </w:pPr>
    </w:p>
    <w:p w:rsidR="007A21B2" w:rsidRDefault="007A21B2">
      <w:pPr>
        <w:pBdr>
          <w:top w:val="nil"/>
          <w:left w:val="nil"/>
          <w:bottom w:val="nil"/>
          <w:right w:val="nil"/>
          <w:between w:val="nil"/>
        </w:pBdr>
        <w:rPr>
          <w:rFonts w:ascii="Century Gothic" w:eastAsia="Century Gothic" w:hAnsi="Century Gothic" w:cs="Century Gothic"/>
          <w:color w:val="000000"/>
        </w:rPr>
      </w:pPr>
    </w:p>
    <w:p w:rsidR="00A026CC" w:rsidRDefault="00A026CC">
      <w:pPr>
        <w:rPr>
          <w:rFonts w:ascii="Century Gothic" w:eastAsia="Century Gothic" w:hAnsi="Century Gothic" w:cs="Century Gothic"/>
          <w:b/>
          <w:color w:val="000000"/>
        </w:rPr>
      </w:pPr>
      <w:r>
        <w:rPr>
          <w:rFonts w:ascii="Century Gothic" w:eastAsia="Century Gothic" w:hAnsi="Century Gothic" w:cs="Century Gothic"/>
          <w:b/>
          <w:color w:val="000000"/>
        </w:rPr>
        <w:br w:type="page"/>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b/>
          <w:color w:val="000000"/>
        </w:rPr>
        <w:lastRenderedPageBreak/>
        <w:t xml:space="preserve">5. Požadované úkony před započetím realizace </w:t>
      </w: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Firma, která bude provádět realizaci, se bude řídit normami spojenými se- „Zásadami ochrany stromů na staveništi“ –</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83 9011 Práce s půdou</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83 9061 Ochrana stromů, porostů a vegetačních ploch při stavebních pracích</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73 3050 Zemní práce</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ČSN 73 6005 Prostorové uspořádání sítí technického vybavení </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83 9021 Rostliny a jejich výsadba</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83 9041 Technicko-biologické způsoby stabilizace terénu</w:t>
      </w:r>
    </w:p>
    <w:p w:rsidR="007A21B2" w:rsidRDefault="00074A87">
      <w:pPr>
        <w:numPr>
          <w:ilvl w:val="0"/>
          <w:numId w:val="1"/>
        </w:num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ČSN 83 9061 Ochrana stromů, porostů a vegetačních ploch při stavebních pracích</w:t>
      </w:r>
    </w:p>
    <w:p w:rsidR="007A21B2" w:rsidRDefault="007A21B2">
      <w:pPr>
        <w:pBdr>
          <w:top w:val="nil"/>
          <w:left w:val="nil"/>
          <w:bottom w:val="nil"/>
          <w:right w:val="nil"/>
          <w:between w:val="nil"/>
        </w:pBdr>
        <w:rPr>
          <w:rFonts w:ascii="Century Gothic" w:eastAsia="Century Gothic" w:hAnsi="Century Gothic" w:cs="Century Gothic"/>
          <w:color w:val="000000"/>
        </w:rPr>
      </w:pPr>
      <w:bookmarkStart w:id="1" w:name="_heading=h.3dy6vkm" w:colFirst="0" w:colLast="0"/>
      <w:bookmarkEnd w:id="1"/>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A026CC" w:rsidRDefault="00A026C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39481C" w:rsidRDefault="0039481C">
      <w:pPr>
        <w:pBdr>
          <w:top w:val="nil"/>
          <w:left w:val="nil"/>
          <w:bottom w:val="nil"/>
          <w:right w:val="nil"/>
          <w:between w:val="nil"/>
        </w:pBdr>
        <w:rPr>
          <w:rFonts w:ascii="Century Gothic" w:eastAsia="Century Gothic" w:hAnsi="Century Gothic" w:cs="Century Gothic"/>
          <w:color w:val="000000"/>
        </w:rPr>
      </w:pPr>
    </w:p>
    <w:p w:rsidR="007A21B2" w:rsidRDefault="00074A87">
      <w:pPr>
        <w:pBdr>
          <w:top w:val="nil"/>
          <w:left w:val="nil"/>
          <w:bottom w:val="nil"/>
          <w:right w:val="nil"/>
          <w:between w:val="nil"/>
        </w:pBdr>
        <w:rPr>
          <w:rFonts w:ascii="Century Gothic" w:eastAsia="Century Gothic" w:hAnsi="Century Gothic" w:cs="Century Gothic"/>
          <w:color w:val="000000"/>
        </w:rPr>
      </w:pPr>
      <w:r>
        <w:rPr>
          <w:rFonts w:ascii="Century Gothic" w:eastAsia="Century Gothic" w:hAnsi="Century Gothic" w:cs="Century Gothic"/>
          <w:color w:val="000000"/>
        </w:rPr>
        <w:t xml:space="preserve">V Třinci </w:t>
      </w:r>
      <w:r w:rsidR="00A026CC">
        <w:rPr>
          <w:rFonts w:ascii="Century Gothic" w:eastAsia="Century Gothic" w:hAnsi="Century Gothic" w:cs="Century Gothic"/>
          <w:color w:val="000000"/>
        </w:rPr>
        <w:t>1</w:t>
      </w:r>
      <w:r w:rsidR="00BC4EB7">
        <w:rPr>
          <w:rFonts w:ascii="Century Gothic" w:eastAsia="Century Gothic" w:hAnsi="Century Gothic" w:cs="Century Gothic"/>
          <w:color w:val="000000"/>
        </w:rPr>
        <w:t>9.3</w:t>
      </w:r>
      <w:r>
        <w:rPr>
          <w:rFonts w:ascii="Century Gothic" w:eastAsia="Century Gothic" w:hAnsi="Century Gothic" w:cs="Century Gothic"/>
          <w:color w:val="000000"/>
        </w:rPr>
        <w:t>.202</w:t>
      </w:r>
      <w:r w:rsidR="00BC4EB7">
        <w:rPr>
          <w:rFonts w:ascii="Century Gothic" w:eastAsia="Century Gothic" w:hAnsi="Century Gothic" w:cs="Century Gothic"/>
          <w:color w:val="000000"/>
        </w:rPr>
        <w:t>1</w:t>
      </w:r>
      <w:r w:rsidR="00826361">
        <w:rPr>
          <w:rFonts w:ascii="Century Gothic" w:eastAsia="Century Gothic" w:hAnsi="Century Gothic" w:cs="Century Gothic"/>
          <w:color w:val="000000"/>
        </w:rPr>
        <w:t xml:space="preserve">                                                                              </w:t>
      </w:r>
      <w:r>
        <w:rPr>
          <w:rFonts w:ascii="Century Gothic" w:eastAsia="Century Gothic" w:hAnsi="Century Gothic" w:cs="Century Gothic"/>
          <w:color w:val="000000"/>
        </w:rPr>
        <w:t>vypracoval : Ing. Dawid Rusz, Bc. Agnieszka</w:t>
      </w:r>
      <w:r w:rsidR="00826361">
        <w:rPr>
          <w:rFonts w:ascii="Century Gothic" w:eastAsia="Century Gothic" w:hAnsi="Century Gothic" w:cs="Century Gothic"/>
          <w:color w:val="000000"/>
        </w:rPr>
        <w:t xml:space="preserve"> </w:t>
      </w:r>
      <w:r>
        <w:rPr>
          <w:rFonts w:ascii="Century Gothic" w:eastAsia="Century Gothic" w:hAnsi="Century Gothic" w:cs="Century Gothic"/>
          <w:color w:val="000000"/>
        </w:rPr>
        <w:t>Rusz</w:t>
      </w:r>
      <w:r w:rsidR="009717EA" w:rsidRPr="009717EA">
        <w:rPr>
          <w:noProof/>
        </w:rPr>
        <w:pict>
          <v:shapetype id="_x0000_t32" coordsize="21600,21600" o:spt="32" o:oned="t" path="m,l21600,21600e" filled="f">
            <v:path arrowok="t" fillok="f" o:connecttype="none"/>
            <o:lock v:ext="edit" shapetype="t"/>
          </v:shapetype>
          <v:shape id="Rovná spojovacia šípka 1028" o:spid="_x0000_s1026" type="#_x0000_t32" style="position:absolute;margin-left:-1in;margin-top:642pt;width:594pt;height:1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" strokeweight="1pt">
            <v:stroke joinstyle="miter"/>
          </v:shape>
        </w:pict>
      </w:r>
    </w:p>
    <w:sectPr w:rsidR="007A21B2" w:rsidSect="005D7D8E">
      <w:headerReference w:type="default" r:id="rId13"/>
      <w:footerReference w:type="default" r:id="rId14"/>
      <w:pgSz w:w="11906" w:h="16838"/>
      <w:pgMar w:top="851" w:right="567" w:bottom="851" w:left="567" w:header="567" w:footer="454" w:gutter="0"/>
      <w:pgNumType w:start="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28E5" w:rsidRDefault="007B28E5">
      <w:r>
        <w:separator/>
      </w:r>
    </w:p>
  </w:endnote>
  <w:endnote w:type="continuationSeparator" w:id="1">
    <w:p w:rsidR="007B28E5" w:rsidRDefault="007B28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sig w:usb0="00000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77C2" w:rsidRPr="003F77C2" w:rsidRDefault="003F77C2" w:rsidP="003F77C2">
    <w:pPr>
      <w:pBdr>
        <w:top w:val="nil"/>
        <w:left w:val="nil"/>
        <w:bottom w:val="nil"/>
        <w:right w:val="nil"/>
        <w:between w:val="nil"/>
      </w:pBdr>
      <w:jc w:val="center"/>
      <w:rPr>
        <w:rFonts w:ascii="Century Gothic" w:eastAsia="Century Gothic" w:hAnsi="Century Gothic" w:cs="Century Gothic"/>
        <w:color w:val="000000"/>
      </w:rPr>
    </w:pPr>
    <w:r w:rsidRPr="003F77C2">
      <w:rPr>
        <w:rFonts w:ascii="Century Gothic" w:eastAsia="Century Gothic" w:hAnsi="Century Gothic" w:cs="Century Gothic"/>
        <w:color w:val="000000"/>
      </w:rPr>
      <w:t>Projekt terénních a sadovnických úprav kolem areálu QUEEN v Třinci</w:t>
    </w:r>
  </w:p>
  <w:p w:rsidR="00775874" w:rsidRDefault="00775874">
    <w:pPr>
      <w:pBdr>
        <w:top w:val="nil"/>
        <w:left w:val="nil"/>
        <w:bottom w:val="nil"/>
        <w:right w:val="nil"/>
        <w:between w:val="nil"/>
      </w:pBdr>
      <w:tabs>
        <w:tab w:val="center" w:pos="4536"/>
        <w:tab w:val="right" w:pos="9072"/>
      </w:tabs>
      <w:rPr>
        <w:color w:val="000000"/>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28E5" w:rsidRDefault="007B28E5">
      <w:r>
        <w:separator/>
      </w:r>
    </w:p>
  </w:footnote>
  <w:footnote w:type="continuationSeparator" w:id="1">
    <w:p w:rsidR="007B28E5" w:rsidRDefault="007B28E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5874" w:rsidRDefault="00775874">
    <w:pPr>
      <w:pBdr>
        <w:top w:val="nil"/>
        <w:left w:val="nil"/>
        <w:bottom w:val="nil"/>
        <w:right w:val="nil"/>
        <w:between w:val="nil"/>
      </w:pBdr>
      <w:tabs>
        <w:tab w:val="center" w:pos="4536"/>
        <w:tab w:val="right" w:pos="9072"/>
      </w:tabs>
      <w:ind w:right="482"/>
      <w:jc w:val="right"/>
      <w:rPr>
        <w:rFonts w:ascii="Century Gothic" w:eastAsia="Century Gothic" w:hAnsi="Century Gothic" w:cs="Century Gothic"/>
        <w:color w:val="000000"/>
      </w:rPr>
    </w:pPr>
    <w:r>
      <w:rPr>
        <w:rFonts w:ascii="Century Gothic" w:eastAsia="Century Gothic" w:hAnsi="Century Gothic" w:cs="Century Gothic"/>
        <w:b/>
        <w:color w:val="000000"/>
      </w:rPr>
      <w:t>ZELENÝ PROSTOR s.r.o.</w:t>
    </w:r>
    <w:r>
      <w:rPr>
        <w:noProof/>
      </w:rPr>
      <w:drawing>
        <wp:anchor distT="0" distB="0" distL="114300" distR="114300" simplePos="0" relativeHeight="251658240" behindDoc="0" locked="0" layoutInCell="1" allowOverlap="1">
          <wp:simplePos x="0" y="0"/>
          <wp:positionH relativeFrom="column">
            <wp:posOffset>-92708</wp:posOffset>
          </wp:positionH>
          <wp:positionV relativeFrom="paragraph">
            <wp:posOffset>-360044</wp:posOffset>
          </wp:positionV>
          <wp:extent cx="2145665" cy="1116965"/>
          <wp:effectExtent l="0" t="0" r="0" b="0"/>
          <wp:wrapSquare wrapText="bothSides" distT="0" distB="0" distL="114300" distR="114300"/>
          <wp:docPr id="103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
                  <a:srcRect/>
                  <a:stretch>
                    <a:fillRect/>
                  </a:stretch>
                </pic:blipFill>
                <pic:spPr>
                  <a:xfrm>
                    <a:off x="0" y="0"/>
                    <a:ext cx="2145665" cy="1116965"/>
                  </a:xfrm>
                  <a:prstGeom prst="rect">
                    <a:avLst/>
                  </a:prstGeom>
                  <a:ln/>
                </pic:spPr>
              </pic:pic>
            </a:graphicData>
          </a:graphic>
        </wp:anchor>
      </w:drawing>
    </w:r>
  </w:p>
  <w:p w:rsidR="00775874" w:rsidRDefault="00775874">
    <w:pPr>
      <w:pBdr>
        <w:top w:val="nil"/>
        <w:left w:val="nil"/>
        <w:bottom w:val="nil"/>
        <w:right w:val="nil"/>
        <w:between w:val="nil"/>
      </w:pBdr>
      <w:tabs>
        <w:tab w:val="center" w:pos="4536"/>
        <w:tab w:val="right" w:pos="9072"/>
      </w:tabs>
      <w:ind w:right="482"/>
      <w:jc w:val="right"/>
      <w:rPr>
        <w:rFonts w:ascii="Century Gothic" w:eastAsia="Century Gothic" w:hAnsi="Century Gothic" w:cs="Century Gothic"/>
        <w:color w:val="000000"/>
      </w:rPr>
    </w:pPr>
    <w:r>
      <w:rPr>
        <w:rFonts w:ascii="Century Gothic" w:eastAsia="Century Gothic" w:hAnsi="Century Gothic" w:cs="Century Gothic"/>
        <w:b/>
        <w:color w:val="000000"/>
      </w:rPr>
      <w:t>zahradní a krajinářská architektura</w:t>
    </w:r>
  </w:p>
  <w:p w:rsidR="00775874" w:rsidRDefault="00775874">
    <w:pPr>
      <w:pBdr>
        <w:top w:val="nil"/>
        <w:left w:val="nil"/>
        <w:bottom w:val="nil"/>
        <w:right w:val="nil"/>
        <w:between w:val="nil"/>
      </w:pBdr>
      <w:tabs>
        <w:tab w:val="center" w:pos="4536"/>
        <w:tab w:val="right" w:pos="9072"/>
      </w:tabs>
      <w:ind w:right="482"/>
      <w:rPr>
        <w:rFonts w:ascii="Century Gothic" w:eastAsia="Century Gothic" w:hAnsi="Century Gothic" w:cs="Century Gothic"/>
        <w:color w:val="000000"/>
      </w:rPr>
    </w:pPr>
    <w:r>
      <w:rPr>
        <w:rFonts w:ascii="Century Gothic" w:eastAsia="Century Gothic" w:hAnsi="Century Gothic" w:cs="Century Gothic"/>
        <w:b/>
        <w:color w:val="000000"/>
      </w:rPr>
      <w:t xml:space="preserve">                                                                                                                                          Horní Lištná 7,Třinec 739 61</w:t>
    </w:r>
  </w:p>
  <w:p w:rsidR="00775874" w:rsidRDefault="00775874">
    <w:pPr>
      <w:pBdr>
        <w:top w:val="nil"/>
        <w:left w:val="nil"/>
        <w:bottom w:val="nil"/>
        <w:right w:val="nil"/>
        <w:between w:val="nil"/>
      </w:pBdr>
      <w:tabs>
        <w:tab w:val="center" w:pos="4536"/>
        <w:tab w:val="right" w:pos="9072"/>
      </w:tabs>
      <w:ind w:right="482"/>
      <w:jc w:val="right"/>
      <w:rPr>
        <w:rFonts w:ascii="Century Gothic" w:eastAsia="Century Gothic" w:hAnsi="Century Gothic" w:cs="Century Gothic"/>
        <w:color w:val="000000"/>
      </w:rPr>
    </w:pPr>
    <w:r>
      <w:rPr>
        <w:rFonts w:ascii="Century Gothic" w:eastAsia="Century Gothic" w:hAnsi="Century Gothic" w:cs="Century Gothic"/>
        <w:b/>
        <w:color w:val="000000"/>
      </w:rPr>
      <w:t>IČO:29450080 DIČ:CZ29450080</w:t>
    </w:r>
  </w:p>
  <w:p w:rsidR="00775874" w:rsidRDefault="009717EA">
    <w:pPr>
      <w:pBdr>
        <w:top w:val="nil"/>
        <w:left w:val="nil"/>
        <w:bottom w:val="nil"/>
        <w:right w:val="nil"/>
        <w:between w:val="nil"/>
      </w:pBdr>
      <w:tabs>
        <w:tab w:val="center" w:pos="4536"/>
        <w:tab w:val="right" w:pos="9072"/>
      </w:tabs>
      <w:rPr>
        <w:color w:val="000000"/>
      </w:rPr>
    </w:pPr>
    <w:r w:rsidRPr="009717EA">
      <w:rPr>
        <w:noProof/>
      </w:rPr>
      <w:pict>
        <v:shapetype id="_x0000_t32" coordsize="21600,21600" o:spt="32" o:oned="t" path="m,l21600,21600e" filled="f">
          <v:path arrowok="t" fillok="f" o:connecttype="none"/>
          <o:lock v:ext="edit" shapetype="t"/>
        </v:shapetype>
        <v:shape id="Rovná spojovacia šípka 1027" o:spid="_x0000_s2049" type="#_x0000_t32" style="position:absolute;margin-left:-45pt;margin-top:9pt;width:846pt;height: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" strokeweight="1.5pt">
          <v:stroke joinstyle="miter"/>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B82A64"/>
    <w:multiLevelType w:val="multilevel"/>
    <w:tmpl w:val="1786DD84"/>
    <w:lvl w:ilvl="0">
      <w:start w:val="1"/>
      <w:numFmt w:val="decimal"/>
      <w:lvlText w:val="%1."/>
      <w:lvlJc w:val="left"/>
      <w:pPr>
        <w:ind w:left="720" w:hanging="360"/>
      </w:pPr>
      <w:rPr>
        <w:vertAlign w:val="baseline"/>
      </w:rPr>
    </w:lvl>
    <w:lvl w:ilvl="1">
      <w:start w:val="1"/>
      <w:numFmt w:val="decimal"/>
      <w:lvlText w:val="%1.%2"/>
      <w:lvlJc w:val="left"/>
      <w:pPr>
        <w:ind w:left="1068" w:hanging="360"/>
      </w:pPr>
      <w:rPr>
        <w:vertAlign w:val="baseline"/>
      </w:rPr>
    </w:lvl>
    <w:lvl w:ilvl="2">
      <w:start w:val="1"/>
      <w:numFmt w:val="decimal"/>
      <w:lvlText w:val="%1.%2.%3"/>
      <w:lvlJc w:val="left"/>
      <w:pPr>
        <w:ind w:left="1776" w:hanging="720"/>
      </w:pPr>
      <w:rPr>
        <w:vertAlign w:val="baseline"/>
      </w:rPr>
    </w:lvl>
    <w:lvl w:ilvl="3">
      <w:start w:val="1"/>
      <w:numFmt w:val="decimal"/>
      <w:lvlText w:val="%1.%2.%3.%4"/>
      <w:lvlJc w:val="left"/>
      <w:pPr>
        <w:ind w:left="2484" w:hanging="1080"/>
      </w:pPr>
      <w:rPr>
        <w:vertAlign w:val="baseline"/>
      </w:rPr>
    </w:lvl>
    <w:lvl w:ilvl="4">
      <w:start w:val="1"/>
      <w:numFmt w:val="decimal"/>
      <w:lvlText w:val="%1.%2.%3.%4.%5"/>
      <w:lvlJc w:val="left"/>
      <w:pPr>
        <w:ind w:left="2832" w:hanging="1080"/>
      </w:pPr>
      <w:rPr>
        <w:vertAlign w:val="baseline"/>
      </w:rPr>
    </w:lvl>
    <w:lvl w:ilvl="5">
      <w:start w:val="1"/>
      <w:numFmt w:val="decimal"/>
      <w:lvlText w:val="%1.%2.%3.%4.%5.%6"/>
      <w:lvlJc w:val="left"/>
      <w:pPr>
        <w:ind w:left="3540" w:hanging="1440"/>
      </w:pPr>
      <w:rPr>
        <w:vertAlign w:val="baseline"/>
      </w:rPr>
    </w:lvl>
    <w:lvl w:ilvl="6">
      <w:start w:val="1"/>
      <w:numFmt w:val="decimal"/>
      <w:lvlText w:val="%1.%2.%3.%4.%5.%6.%7"/>
      <w:lvlJc w:val="left"/>
      <w:pPr>
        <w:ind w:left="3888" w:hanging="1440"/>
      </w:pPr>
      <w:rPr>
        <w:vertAlign w:val="baseline"/>
      </w:rPr>
    </w:lvl>
    <w:lvl w:ilvl="7">
      <w:start w:val="1"/>
      <w:numFmt w:val="decimal"/>
      <w:lvlText w:val="%1.%2.%3.%4.%5.%6.%7.%8"/>
      <w:lvlJc w:val="left"/>
      <w:pPr>
        <w:ind w:left="4596" w:hanging="1800"/>
      </w:pPr>
      <w:rPr>
        <w:vertAlign w:val="baseline"/>
      </w:rPr>
    </w:lvl>
    <w:lvl w:ilvl="8">
      <w:start w:val="1"/>
      <w:numFmt w:val="decimal"/>
      <w:lvlText w:val="%1.%2.%3.%4.%5.%6.%7.%8.%9"/>
      <w:lvlJc w:val="left"/>
      <w:pPr>
        <w:ind w:left="4944" w:hanging="1800"/>
      </w:pPr>
      <w:rPr>
        <w:vertAlign w:val="baseline"/>
      </w:rPr>
    </w:lvl>
  </w:abstractNum>
  <w:abstractNum w:abstractNumId="1">
    <w:nsid w:val="60C354C5"/>
    <w:multiLevelType w:val="multilevel"/>
    <w:tmpl w:val="AD6A70B2"/>
    <w:lvl w:ilvl="0">
      <w:start w:val="2"/>
      <w:numFmt w:val="bullet"/>
      <w:lvlText w:val="-"/>
      <w:lvlJc w:val="left"/>
      <w:pPr>
        <w:ind w:left="720" w:hanging="360"/>
      </w:pPr>
      <w:rPr>
        <w:rFonts w:ascii="Century Gothic" w:eastAsia="Century Gothic" w:hAnsi="Century Gothic" w:cs="Century Gothic"/>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nsid w:val="68792781"/>
    <w:multiLevelType w:val="multilevel"/>
    <w:tmpl w:val="7A720EA0"/>
    <w:lvl w:ilvl="0">
      <w:start w:val="1"/>
      <w:numFmt w:val="decimal"/>
      <w:lvlText w:val="%1."/>
      <w:lvlJc w:val="left"/>
      <w:pPr>
        <w:ind w:left="2235" w:hanging="360"/>
      </w:pPr>
      <w:rPr>
        <w:vertAlign w:val="baseline"/>
      </w:rPr>
    </w:lvl>
    <w:lvl w:ilvl="1">
      <w:start w:val="1"/>
      <w:numFmt w:val="lowerLetter"/>
      <w:lvlText w:val="%2."/>
      <w:lvlJc w:val="left"/>
      <w:pPr>
        <w:ind w:left="2955" w:hanging="360"/>
      </w:pPr>
      <w:rPr>
        <w:vertAlign w:val="baseline"/>
      </w:rPr>
    </w:lvl>
    <w:lvl w:ilvl="2">
      <w:start w:val="1"/>
      <w:numFmt w:val="lowerRoman"/>
      <w:lvlText w:val="%3."/>
      <w:lvlJc w:val="right"/>
      <w:pPr>
        <w:ind w:left="3675" w:hanging="180"/>
      </w:pPr>
      <w:rPr>
        <w:vertAlign w:val="baseline"/>
      </w:rPr>
    </w:lvl>
    <w:lvl w:ilvl="3">
      <w:start w:val="1"/>
      <w:numFmt w:val="decimal"/>
      <w:lvlText w:val="%4."/>
      <w:lvlJc w:val="left"/>
      <w:pPr>
        <w:ind w:left="4395" w:hanging="360"/>
      </w:pPr>
      <w:rPr>
        <w:vertAlign w:val="baseline"/>
      </w:rPr>
    </w:lvl>
    <w:lvl w:ilvl="4">
      <w:start w:val="1"/>
      <w:numFmt w:val="lowerLetter"/>
      <w:lvlText w:val="%5."/>
      <w:lvlJc w:val="left"/>
      <w:pPr>
        <w:ind w:left="5115" w:hanging="360"/>
      </w:pPr>
      <w:rPr>
        <w:vertAlign w:val="baseline"/>
      </w:rPr>
    </w:lvl>
    <w:lvl w:ilvl="5">
      <w:start w:val="1"/>
      <w:numFmt w:val="lowerRoman"/>
      <w:lvlText w:val="%6."/>
      <w:lvlJc w:val="right"/>
      <w:pPr>
        <w:ind w:left="5835" w:hanging="180"/>
      </w:pPr>
      <w:rPr>
        <w:vertAlign w:val="baseline"/>
      </w:rPr>
    </w:lvl>
    <w:lvl w:ilvl="6">
      <w:start w:val="1"/>
      <w:numFmt w:val="decimal"/>
      <w:lvlText w:val="%7."/>
      <w:lvlJc w:val="left"/>
      <w:pPr>
        <w:ind w:left="6555" w:hanging="360"/>
      </w:pPr>
      <w:rPr>
        <w:vertAlign w:val="baseline"/>
      </w:rPr>
    </w:lvl>
    <w:lvl w:ilvl="7">
      <w:start w:val="1"/>
      <w:numFmt w:val="lowerLetter"/>
      <w:lvlText w:val="%8."/>
      <w:lvlJc w:val="left"/>
      <w:pPr>
        <w:ind w:left="7275" w:hanging="360"/>
      </w:pPr>
      <w:rPr>
        <w:vertAlign w:val="baseline"/>
      </w:rPr>
    </w:lvl>
    <w:lvl w:ilvl="8">
      <w:start w:val="1"/>
      <w:numFmt w:val="lowerRoman"/>
      <w:lvlText w:val="%9."/>
      <w:lvlJc w:val="right"/>
      <w:pPr>
        <w:ind w:left="7995" w:hanging="180"/>
      </w:pPr>
      <w:rPr>
        <w:vertAlign w:val="baseline"/>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hdrShapeDefaults>
    <o:shapedefaults v:ext="edit" spidmax="3074"/>
    <o:shapelayout v:ext="edit">
      <o:idmap v:ext="edit" data="2"/>
      <o:rules v:ext="edit">
        <o:r id="V:Rule1" type="connector" idref="#Rovná spojovacia šípka 1027"/>
      </o:rules>
    </o:shapelayout>
  </w:hdrShapeDefaults>
  <w:footnotePr>
    <w:footnote w:id="0"/>
    <w:footnote w:id="1"/>
  </w:footnotePr>
  <w:endnotePr>
    <w:endnote w:id="0"/>
    <w:endnote w:id="1"/>
  </w:endnotePr>
  <w:compat/>
  <w:rsids>
    <w:rsidRoot w:val="007A21B2"/>
    <w:rsid w:val="000058B2"/>
    <w:rsid w:val="00044866"/>
    <w:rsid w:val="0005665C"/>
    <w:rsid w:val="00074A87"/>
    <w:rsid w:val="000954F2"/>
    <w:rsid w:val="000B0E67"/>
    <w:rsid w:val="000C3B62"/>
    <w:rsid w:val="001225E4"/>
    <w:rsid w:val="00130834"/>
    <w:rsid w:val="00212BA2"/>
    <w:rsid w:val="00264495"/>
    <w:rsid w:val="002A722D"/>
    <w:rsid w:val="003032FC"/>
    <w:rsid w:val="0031623C"/>
    <w:rsid w:val="00337E64"/>
    <w:rsid w:val="00341459"/>
    <w:rsid w:val="0039481C"/>
    <w:rsid w:val="003E39EA"/>
    <w:rsid w:val="003F77C2"/>
    <w:rsid w:val="00400F56"/>
    <w:rsid w:val="00416393"/>
    <w:rsid w:val="00430500"/>
    <w:rsid w:val="00460A4E"/>
    <w:rsid w:val="00466353"/>
    <w:rsid w:val="004B236D"/>
    <w:rsid w:val="004D1EA0"/>
    <w:rsid w:val="004E65EC"/>
    <w:rsid w:val="00510428"/>
    <w:rsid w:val="005733D1"/>
    <w:rsid w:val="005A63A2"/>
    <w:rsid w:val="005A6A35"/>
    <w:rsid w:val="005D7D8E"/>
    <w:rsid w:val="00600A04"/>
    <w:rsid w:val="00604E93"/>
    <w:rsid w:val="00625546"/>
    <w:rsid w:val="00634E7A"/>
    <w:rsid w:val="006A157B"/>
    <w:rsid w:val="007230E0"/>
    <w:rsid w:val="00732BB4"/>
    <w:rsid w:val="00755632"/>
    <w:rsid w:val="00756689"/>
    <w:rsid w:val="00775874"/>
    <w:rsid w:val="007A21B2"/>
    <w:rsid w:val="007B28E5"/>
    <w:rsid w:val="007D7180"/>
    <w:rsid w:val="008175A8"/>
    <w:rsid w:val="00826361"/>
    <w:rsid w:val="00843D56"/>
    <w:rsid w:val="00887ED5"/>
    <w:rsid w:val="00892C84"/>
    <w:rsid w:val="00893571"/>
    <w:rsid w:val="00930769"/>
    <w:rsid w:val="009518B4"/>
    <w:rsid w:val="00962915"/>
    <w:rsid w:val="009640D7"/>
    <w:rsid w:val="009717EA"/>
    <w:rsid w:val="009D3A15"/>
    <w:rsid w:val="009F713C"/>
    <w:rsid w:val="00A026CC"/>
    <w:rsid w:val="00A4028F"/>
    <w:rsid w:val="00AF430F"/>
    <w:rsid w:val="00B07427"/>
    <w:rsid w:val="00B1564B"/>
    <w:rsid w:val="00BC4EB7"/>
    <w:rsid w:val="00BE1805"/>
    <w:rsid w:val="00C03B26"/>
    <w:rsid w:val="00C27B60"/>
    <w:rsid w:val="00C93730"/>
    <w:rsid w:val="00D35195"/>
    <w:rsid w:val="00DA37C6"/>
    <w:rsid w:val="00DC6DB2"/>
    <w:rsid w:val="00E93173"/>
    <w:rsid w:val="00EB2064"/>
    <w:rsid w:val="00ED319A"/>
    <w:rsid w:val="00EE0248"/>
    <w:rsid w:val="00EE2F1B"/>
    <w:rsid w:val="00EF0FD0"/>
    <w:rsid w:val="00F02679"/>
    <w:rsid w:val="00F3521A"/>
    <w:rsid w:val="00F446A0"/>
    <w:rsid w:val="00F92639"/>
    <w:rsid w:val="00FC454B"/>
    <w:rsid w:val="00FE18A6"/>
    <w:rsid w:val="00FE68E9"/>
    <w:rsid w:val="00FF765E"/>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Rovná spojovacia šípka 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rsid w:val="009717EA"/>
  </w:style>
  <w:style w:type="paragraph" w:styleId="Nadpis1">
    <w:name w:val="heading 1"/>
    <w:basedOn w:val="Normln"/>
    <w:next w:val="Normln"/>
    <w:rsid w:val="009717EA"/>
    <w:pPr>
      <w:keepNext/>
      <w:keepLines/>
      <w:spacing w:before="480" w:after="120"/>
      <w:outlineLvl w:val="0"/>
    </w:pPr>
    <w:rPr>
      <w:b/>
      <w:sz w:val="48"/>
      <w:szCs w:val="48"/>
    </w:rPr>
  </w:style>
  <w:style w:type="paragraph" w:styleId="Nadpis2">
    <w:name w:val="heading 2"/>
    <w:basedOn w:val="Normln"/>
    <w:next w:val="Normln"/>
    <w:rsid w:val="009717EA"/>
    <w:pPr>
      <w:keepNext/>
      <w:keepLines/>
      <w:spacing w:before="360" w:after="80"/>
      <w:outlineLvl w:val="1"/>
    </w:pPr>
    <w:rPr>
      <w:b/>
      <w:sz w:val="36"/>
      <w:szCs w:val="36"/>
    </w:rPr>
  </w:style>
  <w:style w:type="paragraph" w:styleId="Nadpis3">
    <w:name w:val="heading 3"/>
    <w:basedOn w:val="Normln"/>
    <w:next w:val="Normln"/>
    <w:rsid w:val="009717EA"/>
    <w:pPr>
      <w:keepNext/>
      <w:keepLines/>
      <w:spacing w:before="280" w:after="80"/>
      <w:outlineLvl w:val="2"/>
    </w:pPr>
    <w:rPr>
      <w:b/>
      <w:sz w:val="28"/>
      <w:szCs w:val="28"/>
    </w:rPr>
  </w:style>
  <w:style w:type="paragraph" w:styleId="Nadpis4">
    <w:name w:val="heading 4"/>
    <w:basedOn w:val="Normln"/>
    <w:next w:val="Normln"/>
    <w:rsid w:val="009717EA"/>
    <w:pPr>
      <w:keepNext/>
      <w:keepLines/>
      <w:spacing w:before="240" w:after="40"/>
      <w:outlineLvl w:val="3"/>
    </w:pPr>
    <w:rPr>
      <w:b/>
      <w:sz w:val="24"/>
      <w:szCs w:val="24"/>
    </w:rPr>
  </w:style>
  <w:style w:type="paragraph" w:styleId="Nadpis5">
    <w:name w:val="heading 5"/>
    <w:basedOn w:val="Normln"/>
    <w:next w:val="Normln"/>
    <w:rsid w:val="009717EA"/>
    <w:pPr>
      <w:keepNext/>
      <w:keepLines/>
      <w:spacing w:before="220" w:after="40"/>
      <w:outlineLvl w:val="4"/>
    </w:pPr>
    <w:rPr>
      <w:b/>
      <w:sz w:val="22"/>
      <w:szCs w:val="22"/>
    </w:rPr>
  </w:style>
  <w:style w:type="paragraph" w:styleId="Nadpis6">
    <w:name w:val="heading 6"/>
    <w:basedOn w:val="Normln"/>
    <w:next w:val="Normln"/>
    <w:rsid w:val="009717EA"/>
    <w:pPr>
      <w:keepNext/>
      <w:keepLines/>
      <w:spacing w:before="200" w:after="40"/>
      <w:outlineLvl w:val="5"/>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rsid w:val="009717EA"/>
    <w:tblPr>
      <w:tblCellMar>
        <w:top w:w="0" w:type="dxa"/>
        <w:left w:w="0" w:type="dxa"/>
        <w:bottom w:w="0" w:type="dxa"/>
        <w:right w:w="0" w:type="dxa"/>
      </w:tblCellMar>
    </w:tblPr>
  </w:style>
  <w:style w:type="paragraph" w:styleId="Nzev">
    <w:name w:val="Title"/>
    <w:basedOn w:val="Normln"/>
    <w:next w:val="Normln"/>
    <w:rsid w:val="009717EA"/>
    <w:pPr>
      <w:keepNext/>
      <w:keepLines/>
      <w:spacing w:before="480" w:after="120"/>
    </w:pPr>
    <w:rPr>
      <w:b/>
      <w:sz w:val="72"/>
      <w:szCs w:val="72"/>
    </w:rPr>
  </w:style>
  <w:style w:type="paragraph" w:customStyle="1" w:styleId="Normln1">
    <w:name w:val="Normální1"/>
    <w:rsid w:val="009717EA"/>
    <w:pPr>
      <w:suppressAutoHyphens/>
      <w:spacing w:line="1" w:lineRule="atLeast"/>
      <w:ind w:leftChars="-1" w:left="-1" w:hangingChars="1" w:hanging="1"/>
      <w:textDirection w:val="btLr"/>
      <w:textAlignment w:val="top"/>
      <w:outlineLvl w:val="0"/>
    </w:pPr>
    <w:rPr>
      <w:position w:val="-1"/>
      <w:sz w:val="24"/>
      <w:szCs w:val="24"/>
    </w:rPr>
  </w:style>
  <w:style w:type="character" w:customStyle="1" w:styleId="Standardnpsmoodstavce1">
    <w:name w:val="Standardní písmo odstavce1"/>
    <w:rsid w:val="009717EA"/>
    <w:rPr>
      <w:w w:val="100"/>
      <w:position w:val="-1"/>
      <w:effect w:val="none"/>
      <w:vertAlign w:val="baseline"/>
      <w:cs w:val="0"/>
      <w:em w:val="none"/>
    </w:rPr>
  </w:style>
  <w:style w:type="table" w:customStyle="1" w:styleId="Normlntabulka1">
    <w:name w:val="Normální tabulka1"/>
    <w:rsid w:val="009717EA"/>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Bezseznamu1">
    <w:name w:val="Bez seznamu1"/>
    <w:rsid w:val="009717EA"/>
  </w:style>
  <w:style w:type="paragraph" w:customStyle="1" w:styleId="Zhlav1">
    <w:name w:val="Záhlaví1"/>
    <w:basedOn w:val="Normln1"/>
    <w:rsid w:val="009717EA"/>
    <w:pPr>
      <w:tabs>
        <w:tab w:val="center" w:pos="4536"/>
        <w:tab w:val="right" w:pos="9072"/>
      </w:tabs>
    </w:pPr>
  </w:style>
  <w:style w:type="paragraph" w:customStyle="1" w:styleId="Zpat1">
    <w:name w:val="Zápatí1"/>
    <w:basedOn w:val="Normln1"/>
    <w:rsid w:val="009717EA"/>
    <w:pPr>
      <w:tabs>
        <w:tab w:val="center" w:pos="4536"/>
        <w:tab w:val="right" w:pos="9072"/>
      </w:tabs>
    </w:pPr>
  </w:style>
  <w:style w:type="character" w:customStyle="1" w:styleId="st">
    <w:name w:val="st"/>
    <w:rsid w:val="009717EA"/>
    <w:rPr>
      <w:w w:val="100"/>
      <w:position w:val="-1"/>
      <w:effect w:val="none"/>
      <w:vertAlign w:val="baseline"/>
      <w:cs w:val="0"/>
      <w:em w:val="none"/>
    </w:rPr>
  </w:style>
  <w:style w:type="character" w:customStyle="1" w:styleId="Zdraznn">
    <w:name w:val="Zdůraznění"/>
    <w:rsid w:val="009717EA"/>
    <w:rPr>
      <w:i/>
      <w:iCs/>
      <w:w w:val="100"/>
      <w:position w:val="-1"/>
      <w:effect w:val="none"/>
      <w:vertAlign w:val="baseline"/>
      <w:cs w:val="0"/>
      <w:em w:val="none"/>
    </w:rPr>
  </w:style>
  <w:style w:type="character" w:customStyle="1" w:styleId="ZpatChar">
    <w:name w:val="Zápatí Char"/>
    <w:rsid w:val="009717EA"/>
    <w:rPr>
      <w:w w:val="100"/>
      <w:position w:val="-1"/>
      <w:sz w:val="24"/>
      <w:szCs w:val="24"/>
      <w:effect w:val="none"/>
      <w:vertAlign w:val="baseline"/>
      <w:cs w:val="0"/>
      <w:em w:val="none"/>
    </w:rPr>
  </w:style>
  <w:style w:type="paragraph" w:styleId="Textbubliny">
    <w:name w:val="Balloon Text"/>
    <w:basedOn w:val="Normln1"/>
    <w:rsid w:val="009717EA"/>
    <w:rPr>
      <w:rFonts w:ascii="Tahoma" w:hAnsi="Tahoma"/>
      <w:sz w:val="16"/>
      <w:szCs w:val="16"/>
    </w:rPr>
  </w:style>
  <w:style w:type="character" w:customStyle="1" w:styleId="TextbublinyChar">
    <w:name w:val="Text bubliny Char"/>
    <w:rsid w:val="009717EA"/>
    <w:rPr>
      <w:rFonts w:ascii="Tahoma" w:hAnsi="Tahoma" w:cs="Tahoma"/>
      <w:w w:val="100"/>
      <w:position w:val="-1"/>
      <w:sz w:val="16"/>
      <w:szCs w:val="16"/>
      <w:effect w:val="none"/>
      <w:vertAlign w:val="baseline"/>
      <w:cs w:val="0"/>
      <w:em w:val="none"/>
    </w:rPr>
  </w:style>
  <w:style w:type="paragraph" w:styleId="Podtitul">
    <w:name w:val="Subtitle"/>
    <w:basedOn w:val="Normln"/>
    <w:next w:val="Normln"/>
    <w:rsid w:val="009717EA"/>
    <w:pPr>
      <w:keepNext/>
      <w:keepLines/>
      <w:spacing w:before="360" w:after="80"/>
    </w:pPr>
    <w:rPr>
      <w:rFonts w:ascii="Georgia" w:eastAsia="Georgia" w:hAnsi="Georgia" w:cs="Georgia"/>
      <w:i/>
      <w:color w:val="666666"/>
      <w:sz w:val="48"/>
      <w:szCs w:val="48"/>
    </w:rPr>
  </w:style>
  <w:style w:type="table" w:customStyle="1" w:styleId="a">
    <w:basedOn w:val="TableNormal"/>
    <w:rsid w:val="009717EA"/>
    <w:tblPr>
      <w:tblStyleRowBandSize w:val="1"/>
      <w:tblStyleColBandSize w:val="1"/>
      <w:tblCellMar>
        <w:top w:w="0" w:type="dxa"/>
        <w:left w:w="70" w:type="dxa"/>
        <w:bottom w:w="0" w:type="dxa"/>
        <w:right w:w="70" w:type="dxa"/>
      </w:tblCellMar>
    </w:tblPr>
  </w:style>
  <w:style w:type="table" w:customStyle="1" w:styleId="a0">
    <w:basedOn w:val="TableNormal"/>
    <w:rsid w:val="009717EA"/>
    <w:tblPr>
      <w:tblStyleRowBandSize w:val="1"/>
      <w:tblStyleColBandSize w:val="1"/>
      <w:tblCellMar>
        <w:top w:w="0" w:type="dxa"/>
        <w:left w:w="70" w:type="dxa"/>
        <w:bottom w:w="0" w:type="dxa"/>
        <w:right w:w="70" w:type="dxa"/>
      </w:tblCellMar>
    </w:tblPr>
  </w:style>
  <w:style w:type="paragraph" w:styleId="Normlnweb">
    <w:name w:val="Normal (Web)"/>
    <w:basedOn w:val="Normln"/>
    <w:uiPriority w:val="99"/>
    <w:semiHidden/>
    <w:unhideWhenUsed/>
    <w:rsid w:val="009D3A15"/>
    <w:rPr>
      <w:sz w:val="24"/>
      <w:szCs w:val="24"/>
    </w:rPr>
  </w:style>
  <w:style w:type="paragraph" w:styleId="Zhlav">
    <w:name w:val="header"/>
    <w:basedOn w:val="Normln"/>
    <w:link w:val="ZhlavChar"/>
    <w:uiPriority w:val="99"/>
    <w:unhideWhenUsed/>
    <w:rsid w:val="00264495"/>
    <w:pPr>
      <w:tabs>
        <w:tab w:val="center" w:pos="4536"/>
        <w:tab w:val="right" w:pos="9072"/>
      </w:tabs>
    </w:pPr>
  </w:style>
  <w:style w:type="character" w:customStyle="1" w:styleId="ZhlavChar">
    <w:name w:val="Záhlaví Char"/>
    <w:basedOn w:val="Standardnpsmoodstavce"/>
    <w:link w:val="Zhlav"/>
    <w:uiPriority w:val="99"/>
    <w:rsid w:val="00264495"/>
  </w:style>
  <w:style w:type="paragraph" w:styleId="Zpat">
    <w:name w:val="footer"/>
    <w:basedOn w:val="Normln"/>
    <w:link w:val="ZpatChar1"/>
    <w:uiPriority w:val="99"/>
    <w:unhideWhenUsed/>
    <w:rsid w:val="00264495"/>
    <w:pPr>
      <w:tabs>
        <w:tab w:val="center" w:pos="4536"/>
        <w:tab w:val="right" w:pos="9072"/>
      </w:tabs>
    </w:pPr>
  </w:style>
  <w:style w:type="character" w:customStyle="1" w:styleId="ZpatChar1">
    <w:name w:val="Zápatí Char1"/>
    <w:basedOn w:val="Standardnpsmoodstavce"/>
    <w:link w:val="Zpat"/>
    <w:uiPriority w:val="99"/>
    <w:rsid w:val="0026449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style>
  <w:style w:type="paragraph" w:styleId="Nadpis1">
    <w:name w:val="heading 1"/>
    <w:basedOn w:val="Normlny"/>
    <w:next w:val="Normlny"/>
    <w:pPr>
      <w:keepNext/>
      <w:keepLines/>
      <w:spacing w:before="480" w:after="120"/>
      <w:outlineLvl w:val="0"/>
    </w:pPr>
    <w:rPr>
      <w:b/>
      <w:sz w:val="48"/>
      <w:szCs w:val="48"/>
    </w:rPr>
  </w:style>
  <w:style w:type="paragraph" w:styleId="Nadpis2">
    <w:name w:val="heading 2"/>
    <w:basedOn w:val="Normlny"/>
    <w:next w:val="Normlny"/>
    <w:pPr>
      <w:keepNext/>
      <w:keepLines/>
      <w:spacing w:before="360" w:after="80"/>
      <w:outlineLvl w:val="1"/>
    </w:pPr>
    <w:rPr>
      <w:b/>
      <w:sz w:val="36"/>
      <w:szCs w:val="36"/>
    </w:rPr>
  </w:style>
  <w:style w:type="paragraph" w:styleId="Nadpis3">
    <w:name w:val="heading 3"/>
    <w:basedOn w:val="Normlny"/>
    <w:next w:val="Normlny"/>
    <w:pPr>
      <w:keepNext/>
      <w:keepLines/>
      <w:spacing w:before="280" w:after="80"/>
      <w:outlineLvl w:val="2"/>
    </w:pPr>
    <w:rPr>
      <w:b/>
      <w:sz w:val="28"/>
      <w:szCs w:val="28"/>
    </w:rPr>
  </w:style>
  <w:style w:type="paragraph" w:styleId="Nadpis4">
    <w:name w:val="heading 4"/>
    <w:basedOn w:val="Normlny"/>
    <w:next w:val="Normlny"/>
    <w:pPr>
      <w:keepNext/>
      <w:keepLines/>
      <w:spacing w:before="240" w:after="40"/>
      <w:outlineLvl w:val="3"/>
    </w:pPr>
    <w:rPr>
      <w:b/>
      <w:sz w:val="24"/>
      <w:szCs w:val="24"/>
    </w:rPr>
  </w:style>
  <w:style w:type="paragraph" w:styleId="Nadpis5">
    <w:name w:val="heading 5"/>
    <w:basedOn w:val="Normlny"/>
    <w:next w:val="Normlny"/>
    <w:pPr>
      <w:keepNext/>
      <w:keepLines/>
      <w:spacing w:before="220" w:after="40"/>
      <w:outlineLvl w:val="4"/>
    </w:pPr>
    <w:rPr>
      <w:b/>
      <w:sz w:val="22"/>
      <w:szCs w:val="22"/>
    </w:rPr>
  </w:style>
  <w:style w:type="paragraph" w:styleId="Nadpis6">
    <w:name w:val="heading 6"/>
    <w:basedOn w:val="Normlny"/>
    <w:next w:val="Normlny"/>
    <w:pPr>
      <w:keepNext/>
      <w:keepLines/>
      <w:spacing w:before="200" w:after="40"/>
      <w:outlineLvl w:val="5"/>
    </w:pPr>
    <w:rPr>
      <w: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ov">
    <w:name w:val="Title"/>
    <w:basedOn w:val="Normlny"/>
    <w:next w:val="Normlny"/>
    <w:pPr>
      <w:keepNext/>
      <w:keepLines/>
      <w:spacing w:before="480" w:after="120"/>
    </w:pPr>
    <w:rPr>
      <w:b/>
      <w:sz w:val="72"/>
      <w:szCs w:val="72"/>
    </w:rPr>
  </w:style>
  <w:style w:type="paragraph" w:customStyle="1" w:styleId="Normln">
    <w:name w:val="Normální"/>
    <w:pPr>
      <w:suppressAutoHyphens/>
      <w:spacing w:line="1" w:lineRule="atLeast"/>
      <w:ind w:leftChars="-1" w:left="-1" w:hangingChars="1" w:hanging="1"/>
      <w:textDirection w:val="btLr"/>
      <w:textAlignment w:val="top"/>
      <w:outlineLvl w:val="0"/>
    </w:pPr>
    <w:rPr>
      <w:position w:val="-1"/>
      <w:sz w:val="24"/>
      <w:szCs w:val="24"/>
    </w:rPr>
  </w:style>
  <w:style w:type="character" w:customStyle="1" w:styleId="Standardnpsmoodstavce">
    <w:name w:val="Standardní písmo odstavce"/>
    <w:rPr>
      <w:w w:val="100"/>
      <w:position w:val="-1"/>
      <w:effect w:val="none"/>
      <w:vertAlign w:val="baseline"/>
      <w:cs w:val="0"/>
      <w:em w:val="none"/>
    </w:rPr>
  </w:style>
  <w:style w:type="table" w:customStyle="1" w:styleId="Normlntabulka">
    <w:name w:val="Normální tabulka"/>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Bezseznamu">
    <w:name w:val="Bez seznamu"/>
  </w:style>
  <w:style w:type="paragraph" w:customStyle="1" w:styleId="Zhlav">
    <w:name w:val="Záhlaví"/>
    <w:basedOn w:val="Normln"/>
    <w:pPr>
      <w:tabs>
        <w:tab w:val="center" w:pos="4536"/>
        <w:tab w:val="right" w:pos="9072"/>
      </w:tabs>
    </w:pPr>
  </w:style>
  <w:style w:type="paragraph" w:customStyle="1" w:styleId="Zpat">
    <w:name w:val="Zápatí"/>
    <w:basedOn w:val="Normln"/>
    <w:pPr>
      <w:tabs>
        <w:tab w:val="center" w:pos="4536"/>
        <w:tab w:val="right" w:pos="9072"/>
      </w:tabs>
    </w:pPr>
  </w:style>
  <w:style w:type="character" w:customStyle="1" w:styleId="st">
    <w:name w:val="st"/>
    <w:rPr>
      <w:w w:val="100"/>
      <w:position w:val="-1"/>
      <w:effect w:val="none"/>
      <w:vertAlign w:val="baseline"/>
      <w:cs w:val="0"/>
      <w:em w:val="none"/>
    </w:rPr>
  </w:style>
  <w:style w:type="character" w:customStyle="1" w:styleId="Zdraznn">
    <w:name w:val="Zdůraznění"/>
    <w:rPr>
      <w:i/>
      <w:iCs/>
      <w:w w:val="100"/>
      <w:position w:val="-1"/>
      <w:effect w:val="none"/>
      <w:vertAlign w:val="baseline"/>
      <w:cs w:val="0"/>
      <w:em w:val="none"/>
    </w:rPr>
  </w:style>
  <w:style w:type="character" w:customStyle="1" w:styleId="ZpatChar">
    <w:name w:val="Zápatí Char"/>
    <w:rPr>
      <w:w w:val="100"/>
      <w:position w:val="-1"/>
      <w:sz w:val="24"/>
      <w:szCs w:val="24"/>
      <w:effect w:val="none"/>
      <w:vertAlign w:val="baseline"/>
      <w:cs w:val="0"/>
      <w:em w:val="none"/>
    </w:rPr>
  </w:style>
  <w:style w:type="paragraph" w:styleId="Textbubliny">
    <w:name w:val="Balloon Text"/>
    <w:basedOn w:val="Normln"/>
    <w:rPr>
      <w:rFonts w:ascii="Tahoma" w:hAnsi="Tahoma"/>
      <w:sz w:val="16"/>
      <w:szCs w:val="16"/>
    </w:rPr>
  </w:style>
  <w:style w:type="character" w:customStyle="1" w:styleId="TextbublinyChar">
    <w:name w:val="Text bubliny Char"/>
    <w:rPr>
      <w:rFonts w:ascii="Tahoma" w:hAnsi="Tahoma" w:cs="Tahoma"/>
      <w:w w:val="100"/>
      <w:position w:val="-1"/>
      <w:sz w:val="16"/>
      <w:szCs w:val="16"/>
      <w:effect w:val="none"/>
      <w:vertAlign w:val="baseline"/>
      <w:cs w:val="0"/>
      <w:em w:val="none"/>
    </w:rPr>
  </w:style>
  <w:style w:type="paragraph" w:styleId="Podtitul">
    <w:name w:val="Subtitle"/>
    <w:basedOn w:val="Normlny"/>
    <w:next w:val="Normlny"/>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paragraph" w:styleId="Normlnywebov">
    <w:name w:val="Normal (Web)"/>
    <w:basedOn w:val="Normlny"/>
    <w:uiPriority w:val="99"/>
    <w:semiHidden/>
    <w:unhideWhenUsed/>
    <w:rsid w:val="009D3A15"/>
    <w:rPr>
      <w:sz w:val="24"/>
      <w:szCs w:val="24"/>
    </w:rPr>
  </w:style>
  <w:style w:type="paragraph" w:styleId="Hlavika">
    <w:name w:val="header"/>
    <w:basedOn w:val="Normlny"/>
    <w:link w:val="HlavikaChar"/>
    <w:uiPriority w:val="99"/>
    <w:unhideWhenUsed/>
    <w:rsid w:val="00264495"/>
    <w:pPr>
      <w:tabs>
        <w:tab w:val="center" w:pos="4536"/>
        <w:tab w:val="right" w:pos="9072"/>
      </w:tabs>
    </w:pPr>
  </w:style>
  <w:style w:type="character" w:customStyle="1" w:styleId="HlavikaChar">
    <w:name w:val="Hlavička Char"/>
    <w:basedOn w:val="Predvolenpsmoodseku"/>
    <w:link w:val="Hlavika"/>
    <w:uiPriority w:val="99"/>
    <w:rsid w:val="00264495"/>
  </w:style>
  <w:style w:type="paragraph" w:styleId="Pta">
    <w:name w:val="footer"/>
    <w:basedOn w:val="Normlny"/>
    <w:link w:val="PtaChar"/>
    <w:uiPriority w:val="99"/>
    <w:unhideWhenUsed/>
    <w:rsid w:val="00264495"/>
    <w:pPr>
      <w:tabs>
        <w:tab w:val="center" w:pos="4536"/>
        <w:tab w:val="right" w:pos="9072"/>
      </w:tabs>
    </w:pPr>
  </w:style>
  <w:style w:type="character" w:customStyle="1" w:styleId="PtaChar">
    <w:name w:val="Päta Char"/>
    <w:basedOn w:val="Predvolenpsmoodseku"/>
    <w:link w:val="Pta"/>
    <w:uiPriority w:val="99"/>
    <w:rsid w:val="00264495"/>
  </w:style>
</w:styles>
</file>

<file path=word/webSettings.xml><?xml version="1.0" encoding="utf-8"?>
<w:webSettings xmlns:r="http://schemas.openxmlformats.org/officeDocument/2006/relationships" xmlns:w="http://schemas.openxmlformats.org/wordprocessingml/2006/main">
  <w:divs>
    <w:div w:id="293097649">
      <w:bodyDiv w:val="1"/>
      <w:marLeft w:val="0"/>
      <w:marRight w:val="0"/>
      <w:marTop w:val="0"/>
      <w:marBottom w:val="0"/>
      <w:divBdr>
        <w:top w:val="none" w:sz="0" w:space="0" w:color="auto"/>
        <w:left w:val="none" w:sz="0" w:space="0" w:color="auto"/>
        <w:bottom w:val="none" w:sz="0" w:space="0" w:color="auto"/>
        <w:right w:val="none" w:sz="0" w:space="0" w:color="auto"/>
      </w:divBdr>
    </w:div>
    <w:div w:id="501554690">
      <w:bodyDiv w:val="1"/>
      <w:marLeft w:val="0"/>
      <w:marRight w:val="0"/>
      <w:marTop w:val="0"/>
      <w:marBottom w:val="0"/>
      <w:divBdr>
        <w:top w:val="none" w:sz="0" w:space="0" w:color="auto"/>
        <w:left w:val="none" w:sz="0" w:space="0" w:color="auto"/>
        <w:bottom w:val="none" w:sz="0" w:space="0" w:color="auto"/>
        <w:right w:val="none" w:sz="0" w:space="0" w:color="auto"/>
      </w:divBdr>
    </w:div>
    <w:div w:id="642585713">
      <w:bodyDiv w:val="1"/>
      <w:marLeft w:val="0"/>
      <w:marRight w:val="0"/>
      <w:marTop w:val="0"/>
      <w:marBottom w:val="0"/>
      <w:divBdr>
        <w:top w:val="none" w:sz="0" w:space="0" w:color="auto"/>
        <w:left w:val="none" w:sz="0" w:space="0" w:color="auto"/>
        <w:bottom w:val="none" w:sz="0" w:space="0" w:color="auto"/>
        <w:right w:val="none" w:sz="0" w:space="0" w:color="auto"/>
      </w:divBdr>
    </w:div>
    <w:div w:id="696469273">
      <w:bodyDiv w:val="1"/>
      <w:marLeft w:val="0"/>
      <w:marRight w:val="0"/>
      <w:marTop w:val="0"/>
      <w:marBottom w:val="0"/>
      <w:divBdr>
        <w:top w:val="none" w:sz="0" w:space="0" w:color="auto"/>
        <w:left w:val="none" w:sz="0" w:space="0" w:color="auto"/>
        <w:bottom w:val="none" w:sz="0" w:space="0" w:color="auto"/>
        <w:right w:val="none" w:sz="0" w:space="0" w:color="auto"/>
      </w:divBdr>
    </w:div>
    <w:div w:id="970407533">
      <w:bodyDiv w:val="1"/>
      <w:marLeft w:val="0"/>
      <w:marRight w:val="0"/>
      <w:marTop w:val="0"/>
      <w:marBottom w:val="0"/>
      <w:divBdr>
        <w:top w:val="none" w:sz="0" w:space="0" w:color="auto"/>
        <w:left w:val="none" w:sz="0" w:space="0" w:color="auto"/>
        <w:bottom w:val="none" w:sz="0" w:space="0" w:color="auto"/>
        <w:right w:val="none" w:sz="0" w:space="0" w:color="auto"/>
      </w:divBdr>
    </w:div>
    <w:div w:id="1263300151">
      <w:bodyDiv w:val="1"/>
      <w:marLeft w:val="0"/>
      <w:marRight w:val="0"/>
      <w:marTop w:val="0"/>
      <w:marBottom w:val="0"/>
      <w:divBdr>
        <w:top w:val="none" w:sz="0" w:space="0" w:color="auto"/>
        <w:left w:val="none" w:sz="0" w:space="0" w:color="auto"/>
        <w:bottom w:val="none" w:sz="0" w:space="0" w:color="auto"/>
        <w:right w:val="none" w:sz="0" w:space="0" w:color="auto"/>
      </w:divBdr>
    </w:div>
    <w:div w:id="1277447964">
      <w:bodyDiv w:val="1"/>
      <w:marLeft w:val="0"/>
      <w:marRight w:val="0"/>
      <w:marTop w:val="0"/>
      <w:marBottom w:val="0"/>
      <w:divBdr>
        <w:top w:val="none" w:sz="0" w:space="0" w:color="auto"/>
        <w:left w:val="none" w:sz="0" w:space="0" w:color="auto"/>
        <w:bottom w:val="none" w:sz="0" w:space="0" w:color="auto"/>
        <w:right w:val="none" w:sz="0" w:space="0" w:color="auto"/>
      </w:divBdr>
    </w:div>
    <w:div w:id="1303542226">
      <w:bodyDiv w:val="1"/>
      <w:marLeft w:val="0"/>
      <w:marRight w:val="0"/>
      <w:marTop w:val="0"/>
      <w:marBottom w:val="0"/>
      <w:divBdr>
        <w:top w:val="none" w:sz="0" w:space="0" w:color="auto"/>
        <w:left w:val="none" w:sz="0" w:space="0" w:color="auto"/>
        <w:bottom w:val="none" w:sz="0" w:space="0" w:color="auto"/>
        <w:right w:val="none" w:sz="0" w:space="0" w:color="auto"/>
      </w:divBdr>
    </w:div>
    <w:div w:id="1939364371">
      <w:bodyDiv w:val="1"/>
      <w:marLeft w:val="0"/>
      <w:marRight w:val="0"/>
      <w:marTop w:val="0"/>
      <w:marBottom w:val="0"/>
      <w:divBdr>
        <w:top w:val="none" w:sz="0" w:space="0" w:color="auto"/>
        <w:left w:val="none" w:sz="0" w:space="0" w:color="auto"/>
        <w:bottom w:val="none" w:sz="0" w:space="0" w:color="auto"/>
        <w:right w:val="none" w:sz="0" w:space="0" w:color="auto"/>
      </w:divBdr>
    </w:div>
    <w:div w:id="1979725280">
      <w:bodyDiv w:val="1"/>
      <w:marLeft w:val="0"/>
      <w:marRight w:val="0"/>
      <w:marTop w:val="0"/>
      <w:marBottom w:val="0"/>
      <w:divBdr>
        <w:top w:val="none" w:sz="0" w:space="0" w:color="auto"/>
        <w:left w:val="none" w:sz="0" w:space="0" w:color="auto"/>
        <w:bottom w:val="none" w:sz="0" w:space="0" w:color="auto"/>
        <w:right w:val="none" w:sz="0" w:space="0" w:color="auto"/>
      </w:divBdr>
    </w:div>
    <w:div w:id="2141537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go:docsCustomData xmlns:go="http://customooxmlschemas.google.com/" roundtripDataSignature="AMtx7mjF1sj2BbKKDsNnGzQlzWnzKtLeQw==">AMUW2mWB70P22GXrZAnK5B7dv65hOQPaNtAZrNVtMeZKRlv5rVbmXaByh2+MTJONOnJ9K2StmBBRqC9gAQvq4o2x9CanEHi5OBaZmjKoep7EcXmNEk1xeUEdyojExzeP2C7WP7LUyXt/D/uCESnyhSeYfpKIM1BQugd5mjNYTNKVoVCCkBR/x0U2LM/aBjrnx3Lq8HTw7wxjPTa50MJkV68OCUwpq0bXOQ==</go:docsCustomData>
</go:gDocsCustomXmlDataStorage>
</file>

<file path=customXml/itemProps1.xml><?xml version="1.0" encoding="utf-8"?>
<ds:datastoreItem xmlns:ds="http://schemas.openxmlformats.org/officeDocument/2006/customXml" ds:itemID="{6C0BDEE1-6F82-4007-84E1-9114D0252A4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8</Pages>
  <Words>2237</Words>
  <Characters>13203</Characters>
  <Application>Microsoft Office Word</Application>
  <DocSecurity>0</DocSecurity>
  <Lines>110</Lines>
  <Paragraphs>30</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15410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START</cp:lastModifiedBy>
  <cp:revision>15</cp:revision>
  <cp:lastPrinted>2020-10-30T07:27:00Z</cp:lastPrinted>
  <dcterms:created xsi:type="dcterms:W3CDTF">2021-03-09T06:32:00Z</dcterms:created>
  <dcterms:modified xsi:type="dcterms:W3CDTF">2021-03-24T07:32:00Z</dcterms:modified>
</cp:coreProperties>
</file>